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EC6BC8" w:rsidTr="007E1D85">
        <w:tc>
          <w:tcPr>
            <w:tcW w:w="5211" w:type="dxa"/>
            <w:hideMark/>
          </w:tcPr>
          <w:p w:rsidR="007E1D85" w:rsidRPr="00EC6BC8" w:rsidRDefault="007E1D85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EC6BC8" w:rsidRDefault="00523D82" w:rsidP="00BA4A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B93501" w:rsidRPr="00EC6BC8" w:rsidRDefault="00B93501" w:rsidP="00B935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B93501" w:rsidRPr="00EC6BC8" w:rsidRDefault="00B93501" w:rsidP="00B935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РГУ «Комитет медицинского и </w:t>
            </w:r>
          </w:p>
          <w:p w:rsidR="00B93501" w:rsidRPr="00EC6BC8" w:rsidRDefault="00B93501" w:rsidP="00B935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фармацевтического контроля  </w:t>
            </w:r>
          </w:p>
          <w:p w:rsidR="00B93501" w:rsidRPr="00EC6BC8" w:rsidRDefault="00B93501" w:rsidP="00B935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:rsidR="00B93501" w:rsidRPr="00EC6BC8" w:rsidRDefault="00B93501" w:rsidP="00B93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Республики Казахстан»</w:t>
            </w:r>
          </w:p>
          <w:p w:rsidR="00BF3D4F" w:rsidRPr="00EC6BC8" w:rsidRDefault="00BF3D4F" w:rsidP="00BF3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proofErr w:type="gramStart"/>
            <w:r w:rsidRPr="00EC6B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08»_</w:t>
            </w:r>
            <w:proofErr w:type="gramEnd"/>
            <w:r w:rsidRPr="00EC6B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_07__2021 г.</w:t>
            </w:r>
          </w:p>
          <w:p w:rsidR="00523D82" w:rsidRPr="00EC6BC8" w:rsidRDefault="00BF3D4F" w:rsidP="00BF3D4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№N040575, №N040574</w:t>
            </w:r>
          </w:p>
        </w:tc>
        <w:tc>
          <w:tcPr>
            <w:tcW w:w="4536" w:type="dxa"/>
          </w:tcPr>
          <w:p w:rsidR="00523D82" w:rsidRPr="00EC6BC8" w:rsidRDefault="00D46B0B" w:rsidP="00BA4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C6BC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EC6BC8" w:rsidTr="007E1D85">
        <w:trPr>
          <w:trHeight w:val="80"/>
        </w:trPr>
        <w:tc>
          <w:tcPr>
            <w:tcW w:w="5211" w:type="dxa"/>
          </w:tcPr>
          <w:p w:rsidR="00523D82" w:rsidRPr="00EC6BC8" w:rsidRDefault="00523D82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EC6BC8" w:rsidRDefault="00523D82" w:rsidP="00BA4A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EC6BC8" w:rsidRDefault="00523D82" w:rsidP="00BA4A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EC6BC8" w:rsidTr="003662F1">
        <w:trPr>
          <w:trHeight w:val="80"/>
        </w:trPr>
        <w:tc>
          <w:tcPr>
            <w:tcW w:w="14283" w:type="dxa"/>
            <w:gridSpan w:val="3"/>
          </w:tcPr>
          <w:p w:rsidR="003662F1" w:rsidRPr="00EC6BC8" w:rsidRDefault="003662F1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EC6BC8" w:rsidRDefault="00D76048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EC6BC8" w:rsidRDefault="00D76048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  <w:r w:rsidR="001E14D4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EC6BC8" w:rsidRDefault="002C76D7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EC6BC8" w:rsidRDefault="00D76048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7E64" w:rsidRPr="00EC6BC8" w:rsidRDefault="00F34EE3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Ибупрофен Вива Фарм</w:t>
      </w:r>
    </w:p>
    <w:p w:rsidR="00F34EE3" w:rsidRPr="00EC6BC8" w:rsidRDefault="00F34EE3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EC6BC8" w:rsidRDefault="00AE7922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D7E64" w:rsidRPr="00EC6BC8" w:rsidRDefault="00F34EE3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Ибупрофен</w:t>
      </w:r>
    </w:p>
    <w:p w:rsidR="00F34EE3" w:rsidRPr="00EC6BC8" w:rsidRDefault="00F34EE3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EC6BC8" w:rsidRDefault="002C76D7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Pr="00EC6BC8" w:rsidRDefault="009D7E64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Таблетки, покрытые </w:t>
      </w:r>
      <w:r w:rsidR="007F4283"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пленочной </w:t>
      </w: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оболочкой, </w:t>
      </w:r>
      <w:r w:rsidR="00F34EE3" w:rsidRPr="00EC6BC8">
        <w:rPr>
          <w:rFonts w:ascii="Times New Roman" w:eastAsia="Times New Roman" w:hAnsi="Times New Roman"/>
          <w:sz w:val="28"/>
          <w:szCs w:val="28"/>
          <w:lang w:eastAsia="ru-RU"/>
        </w:rPr>
        <w:t>200 мг и 400 мг</w:t>
      </w:r>
    </w:p>
    <w:p w:rsidR="009D7E64" w:rsidRPr="00EC6BC8" w:rsidRDefault="009D7E64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EC6BC8" w:rsidRDefault="00AE7922" w:rsidP="00BA4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EC6BC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EC6BC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EC6BC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F34EE3" w:rsidRPr="00EC6BC8" w:rsidRDefault="00F34EE3" w:rsidP="00F34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Костно-мышечная система. Противовоспалительные и противоревматические препараты. Противовоспалительные и противоревматические препараты, нестероидные. </w:t>
      </w:r>
      <w:proofErr w:type="spellStart"/>
      <w:r w:rsidRPr="00EC6BC8">
        <w:rPr>
          <w:rFonts w:ascii="Times New Roman" w:hAnsi="Times New Roman"/>
          <w:sz w:val="28"/>
          <w:szCs w:val="28"/>
        </w:rPr>
        <w:t>Пропионовой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кислоты производные. Ибупрофен.</w:t>
      </w:r>
    </w:p>
    <w:p w:rsidR="00E31D33" w:rsidRPr="00EC6BC8" w:rsidRDefault="00F34EE3" w:rsidP="00F34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Код ATХ М01АЕ01</w:t>
      </w:r>
    </w:p>
    <w:p w:rsidR="00E31D33" w:rsidRPr="00EC6BC8" w:rsidRDefault="00E31D33" w:rsidP="00E31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6D7" w:rsidRPr="00EC6BC8" w:rsidRDefault="005444B2" w:rsidP="00E31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EC6B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58D9" w:rsidRPr="00EC6BC8" w:rsidRDefault="00FE078C" w:rsidP="00FE078C">
      <w:pPr>
        <w:pStyle w:val="ab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в</w:t>
      </w:r>
      <w:r w:rsidR="00FB58D9" w:rsidRPr="00EC6BC8">
        <w:rPr>
          <w:rFonts w:ascii="Times New Roman" w:hAnsi="Times New Roman"/>
          <w:sz w:val="28"/>
          <w:szCs w:val="28"/>
        </w:rPr>
        <w:t xml:space="preserve"> качестве противовоспалительного, обезболивающего и жаропонижающего средства для краткосрочного лечения болевого синдрома от слабой до умеренной интенсивности, включая головную боль, зубную боль, боль при лихорадке, дисменорею, мышечные и ревматические бол</w:t>
      </w:r>
      <w:r w:rsidR="00037E4D" w:rsidRPr="00EC6BC8">
        <w:rPr>
          <w:rFonts w:ascii="Times New Roman" w:hAnsi="Times New Roman"/>
          <w:sz w:val="28"/>
          <w:szCs w:val="28"/>
        </w:rPr>
        <w:t xml:space="preserve">и, боли в спине, </w:t>
      </w:r>
      <w:r w:rsidR="00FB58D9" w:rsidRPr="00EC6BC8">
        <w:rPr>
          <w:rFonts w:ascii="Times New Roman" w:hAnsi="Times New Roman"/>
          <w:sz w:val="28"/>
          <w:szCs w:val="28"/>
        </w:rPr>
        <w:t>для лече</w:t>
      </w:r>
      <w:r w:rsidR="006F6747" w:rsidRPr="00EC6BC8">
        <w:rPr>
          <w:rFonts w:ascii="Times New Roman" w:hAnsi="Times New Roman"/>
          <w:sz w:val="28"/>
          <w:szCs w:val="28"/>
        </w:rPr>
        <w:t>ния симптомов простуды и гриппа</w:t>
      </w:r>
    </w:p>
    <w:p w:rsidR="00844CE8" w:rsidRPr="00EC6BC8" w:rsidRDefault="00844CE8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EC6BC8" w:rsidRDefault="00DB406A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EC6BC8" w:rsidRDefault="007D0E84" w:rsidP="00BA4A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F82E49" w:rsidRPr="00EC6BC8" w:rsidRDefault="00F82E49" w:rsidP="00F64FB0">
      <w:pPr>
        <w:pStyle w:val="a9"/>
        <w:numPr>
          <w:ilvl w:val="0"/>
          <w:numId w:val="36"/>
        </w:numPr>
        <w:tabs>
          <w:tab w:val="left" w:pos="284"/>
        </w:tabs>
        <w:spacing w:after="0"/>
        <w:ind w:left="284" w:hanging="284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гиперчувствительность к действующему веществу или к любому из </w:t>
      </w:r>
      <w:r w:rsidR="00F64FB0" w:rsidRPr="00EC6BC8">
        <w:rPr>
          <w:sz w:val="28"/>
          <w:szCs w:val="28"/>
        </w:rPr>
        <w:t xml:space="preserve">вспомогательных веществ </w:t>
      </w:r>
      <w:r w:rsidRPr="00EC6BC8">
        <w:rPr>
          <w:sz w:val="28"/>
          <w:szCs w:val="28"/>
        </w:rPr>
        <w:t>препарата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</w:rPr>
        <w:t xml:space="preserve">тяжелая почечная недостаточность 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</w:rPr>
        <w:t>тяжелая печеночная недостаточность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color w:val="auto"/>
          <w:sz w:val="28"/>
          <w:szCs w:val="28"/>
        </w:rPr>
        <w:lastRenderedPageBreak/>
        <w:t xml:space="preserve">реакции гиперчувствительности в анамнезе (в частности, бронхиальная астма, </w:t>
      </w:r>
      <w:proofErr w:type="spellStart"/>
      <w:r w:rsidRPr="00EC6BC8">
        <w:rPr>
          <w:color w:val="auto"/>
          <w:sz w:val="28"/>
          <w:szCs w:val="28"/>
        </w:rPr>
        <w:t>бронхоспазм</w:t>
      </w:r>
      <w:proofErr w:type="spellEnd"/>
      <w:r w:rsidRPr="00EC6BC8">
        <w:rPr>
          <w:color w:val="auto"/>
          <w:sz w:val="28"/>
          <w:szCs w:val="28"/>
        </w:rPr>
        <w:t xml:space="preserve">, ринит, отек </w:t>
      </w:r>
      <w:proofErr w:type="spellStart"/>
      <w:r w:rsidRPr="00EC6BC8">
        <w:rPr>
          <w:color w:val="auto"/>
          <w:sz w:val="28"/>
          <w:szCs w:val="28"/>
        </w:rPr>
        <w:t>Квинке</w:t>
      </w:r>
      <w:proofErr w:type="spellEnd"/>
      <w:r w:rsidRPr="00EC6BC8">
        <w:rPr>
          <w:color w:val="auto"/>
          <w:sz w:val="28"/>
          <w:szCs w:val="28"/>
        </w:rPr>
        <w:t xml:space="preserve"> или крапивница), спровоцированные приемом ацетилсалициловой кислоты или других нестероидных противовоспалительных препаратов 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color w:val="auto"/>
          <w:sz w:val="28"/>
          <w:szCs w:val="28"/>
        </w:rPr>
        <w:t xml:space="preserve">кровотечения или перфорации язвы желудочно-кишечного тракта, связанные с предыдущим приемом НПВП 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color w:val="auto"/>
          <w:sz w:val="28"/>
          <w:szCs w:val="28"/>
        </w:rPr>
        <w:t>острая или рецидивирующая язва/кровотечение (два и более эпизодов верифицированной язвы или кровотечения в анамнезе)</w:t>
      </w:r>
      <w:r w:rsidRPr="00EC6BC8">
        <w:rPr>
          <w:strike/>
          <w:color w:val="auto"/>
          <w:sz w:val="28"/>
          <w:szCs w:val="28"/>
        </w:rPr>
        <w:t xml:space="preserve"> </w:t>
      </w:r>
    </w:p>
    <w:p w:rsidR="00F82E49" w:rsidRPr="00EC6BC8" w:rsidRDefault="00F82E49" w:rsidP="00F82E49">
      <w:pPr>
        <w:pStyle w:val="14"/>
        <w:numPr>
          <w:ilvl w:val="0"/>
          <w:numId w:val="36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</w:rPr>
        <w:t>тяжелая сердечная недостаточность (классификация Нью-Йоркской Ассоциации кардиологов, класс IV)</w:t>
      </w:r>
    </w:p>
    <w:p w:rsidR="00F82E49" w:rsidRPr="00EC6BC8" w:rsidRDefault="00F82E49" w:rsidP="00F82E49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лица с наследственной непереносимостью фруктозы, дефицитом фермента </w:t>
      </w:r>
      <w:proofErr w:type="spellStart"/>
      <w:r w:rsidRPr="00EC6BC8">
        <w:rPr>
          <w:rFonts w:ascii="Times New Roman" w:hAnsi="Times New Roman"/>
          <w:sz w:val="28"/>
          <w:szCs w:val="28"/>
        </w:rPr>
        <w:t>Lapp-лактазы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, мальабсорбцией глюкозы-галактозы </w:t>
      </w:r>
    </w:p>
    <w:p w:rsidR="00F82E49" w:rsidRPr="00EC6BC8" w:rsidRDefault="00F82E49" w:rsidP="00F82E49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беременность (III триместр) </w:t>
      </w:r>
    </w:p>
    <w:p w:rsidR="00B45DCD" w:rsidRPr="00EC6BC8" w:rsidRDefault="00F82E49" w:rsidP="00F82E49">
      <w:pPr>
        <w:pStyle w:val="a9"/>
        <w:numPr>
          <w:ilvl w:val="0"/>
          <w:numId w:val="36"/>
        </w:numPr>
        <w:tabs>
          <w:tab w:val="left" w:pos="284"/>
        </w:tabs>
        <w:spacing w:after="0"/>
        <w:ind w:left="284" w:hanging="284"/>
        <w:contextualSpacing/>
        <w:jc w:val="both"/>
        <w:rPr>
          <w:b/>
          <w:bCs/>
          <w:sz w:val="28"/>
          <w:szCs w:val="28"/>
        </w:rPr>
      </w:pPr>
      <w:r w:rsidRPr="00EC6BC8">
        <w:rPr>
          <w:sz w:val="28"/>
          <w:szCs w:val="28"/>
        </w:rPr>
        <w:t>детский возраст до 12 лет</w:t>
      </w:r>
      <w:r w:rsidR="00B45DCD" w:rsidRPr="00EC6BC8">
        <w:rPr>
          <w:sz w:val="28"/>
          <w:szCs w:val="28"/>
        </w:rPr>
        <w:t xml:space="preserve"> </w:t>
      </w:r>
    </w:p>
    <w:p w:rsidR="007D0E84" w:rsidRPr="00EC6BC8" w:rsidRDefault="007D0E84" w:rsidP="00B45D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AC73FC" w:rsidRPr="00EC6BC8" w:rsidRDefault="00AC73FC" w:rsidP="00B45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Прежде чем принимать </w:t>
      </w:r>
      <w:r w:rsidR="00D700A0" w:rsidRPr="00EC6BC8">
        <w:rPr>
          <w:rFonts w:ascii="Times New Roman" w:hAnsi="Times New Roman"/>
          <w:sz w:val="28"/>
          <w:szCs w:val="28"/>
        </w:rPr>
        <w:t xml:space="preserve">препарат </w:t>
      </w:r>
      <w:r w:rsidR="00312150" w:rsidRPr="00EC6BC8">
        <w:rPr>
          <w:rFonts w:ascii="Times New Roman" w:hAnsi="Times New Roman"/>
          <w:sz w:val="28"/>
          <w:szCs w:val="28"/>
        </w:rPr>
        <w:t>Ибупрофен</w:t>
      </w:r>
      <w:r w:rsidRPr="00EC6BC8">
        <w:rPr>
          <w:rFonts w:ascii="Times New Roman" w:hAnsi="Times New Roman"/>
          <w:sz w:val="28"/>
          <w:szCs w:val="28"/>
        </w:rPr>
        <w:t xml:space="preserve"> Вива Фарм проконсультируйтесь с врачом или фармацевтом. </w:t>
      </w:r>
    </w:p>
    <w:p w:rsidR="007D0E84" w:rsidRPr="00EC6BC8" w:rsidRDefault="007D0E84" w:rsidP="00B45D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F95CE9" w:rsidRPr="00EC6BC8" w:rsidRDefault="00F95CE9" w:rsidP="00F95CE9">
      <w:pPr>
        <w:pStyle w:val="14"/>
        <w:snapToGrid w:val="0"/>
        <w:spacing w:before="0" w:after="0"/>
        <w:contextualSpacing/>
        <w:jc w:val="both"/>
        <w:rPr>
          <w:bCs/>
          <w:color w:val="auto"/>
          <w:sz w:val="28"/>
          <w:szCs w:val="28"/>
          <w:u w:val="single"/>
        </w:rPr>
      </w:pPr>
      <w:r w:rsidRPr="00EC6BC8">
        <w:rPr>
          <w:bCs/>
          <w:color w:val="auto"/>
          <w:sz w:val="28"/>
          <w:szCs w:val="28"/>
          <w:u w:val="single"/>
        </w:rPr>
        <w:t>Следует избегать одновременного применения ибупрофена (и других НПВП) со следующими препаратами:</w:t>
      </w:r>
    </w:p>
    <w:p w:rsidR="00F95CE9" w:rsidRPr="00EC6BC8" w:rsidRDefault="00F95CE9" w:rsidP="00F95CE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6BC8">
        <w:rPr>
          <w:rStyle w:val="af0"/>
          <w:bCs/>
          <w:sz w:val="28"/>
          <w:szCs w:val="28"/>
        </w:rPr>
        <w:t xml:space="preserve">Ацетилсалициловая кислота: </w:t>
      </w:r>
      <w:r w:rsidRPr="00EC6BC8">
        <w:rPr>
          <w:sz w:val="28"/>
          <w:szCs w:val="28"/>
        </w:rPr>
        <w:t>за исключением низких доз аспирина (не более 75 мг в сутки), назначенных врачом, так как одновременное применение ибупрофена и ацетилсалицило</w:t>
      </w:r>
      <w:r w:rsidR="00EC6BC8" w:rsidRPr="00EC6BC8">
        <w:rPr>
          <w:sz w:val="28"/>
          <w:szCs w:val="28"/>
        </w:rPr>
        <w:t xml:space="preserve">вой кислоты может повысить </w:t>
      </w:r>
      <w:r w:rsidR="00EC6BC8" w:rsidRPr="00EC6BC8">
        <w:rPr>
          <w:sz w:val="28"/>
          <w:szCs w:val="28"/>
          <w:highlight w:val="yellow"/>
        </w:rPr>
        <w:t>риск</w:t>
      </w:r>
      <w:bookmarkStart w:id="1" w:name="_GoBack"/>
      <w:bookmarkEnd w:id="1"/>
      <w:r w:rsidRPr="00EC6BC8">
        <w:rPr>
          <w:sz w:val="28"/>
          <w:szCs w:val="28"/>
        </w:rPr>
        <w:t xml:space="preserve"> развития нежелательных реакций.</w:t>
      </w:r>
    </w:p>
    <w:p w:rsidR="00F95CE9" w:rsidRPr="00EC6BC8" w:rsidRDefault="00F95CE9" w:rsidP="00F95CE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Ибупрофен при одновременном применении с низкими дозами ацетилсалициловой кислоты может конкурентно ингибировать агрегацию тромбоцитов. Хотя допустимость экстраполяции этих данных на клиническую практику остается неопределенной, нельзя исключить возможное влияние регулярного длительного приема ибупрофена на снижение </w:t>
      </w:r>
      <w:proofErr w:type="spellStart"/>
      <w:r w:rsidRPr="00EC6BC8">
        <w:rPr>
          <w:sz w:val="28"/>
          <w:szCs w:val="28"/>
        </w:rPr>
        <w:t>кардиопротекторного</w:t>
      </w:r>
      <w:proofErr w:type="spellEnd"/>
      <w:r w:rsidRPr="00EC6BC8">
        <w:rPr>
          <w:sz w:val="28"/>
          <w:szCs w:val="28"/>
        </w:rPr>
        <w:t xml:space="preserve"> действия низких доз ацетилсалициловой кислоты. Влияние эпизодического применения ибупрофена на </w:t>
      </w:r>
      <w:proofErr w:type="spellStart"/>
      <w:r w:rsidRPr="00EC6BC8">
        <w:rPr>
          <w:sz w:val="28"/>
          <w:szCs w:val="28"/>
        </w:rPr>
        <w:t>кардиопротекторные</w:t>
      </w:r>
      <w:proofErr w:type="spellEnd"/>
      <w:r w:rsidRPr="00EC6BC8">
        <w:rPr>
          <w:sz w:val="28"/>
          <w:szCs w:val="28"/>
        </w:rPr>
        <w:t xml:space="preserve"> свойства ацетилсалициловой кислоты представляется маловероятным.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>Другие НПВП, в частности, селективные ингибиторы циклооксигеназы-2:</w:t>
      </w:r>
      <w:r w:rsidRPr="00EC6BC8">
        <w:rPr>
          <w:color w:val="auto"/>
          <w:sz w:val="28"/>
          <w:szCs w:val="28"/>
        </w:rPr>
        <w:t xml:space="preserve"> следует избегать одновременного применения двух и более препаратов из группы НПВП из-за возможного увеличения риска возникновения нежелательных реакций.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bCs/>
          <w:color w:val="auto"/>
          <w:sz w:val="28"/>
          <w:szCs w:val="28"/>
          <w:u w:val="single"/>
        </w:rPr>
      </w:pPr>
      <w:r w:rsidRPr="00EC6BC8">
        <w:rPr>
          <w:bCs/>
          <w:color w:val="auto"/>
          <w:sz w:val="28"/>
          <w:szCs w:val="28"/>
          <w:u w:val="single"/>
        </w:rPr>
        <w:t>С осторожностью назначать одновременно со следующими препаратами: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proofErr w:type="spellStart"/>
      <w:r w:rsidRPr="00EC6BC8">
        <w:rPr>
          <w:i/>
          <w:iCs/>
          <w:color w:val="auto"/>
          <w:sz w:val="28"/>
          <w:szCs w:val="28"/>
        </w:rPr>
        <w:t>Глюкокортикостероиды</w:t>
      </w:r>
      <w:proofErr w:type="spellEnd"/>
      <w:r w:rsidRPr="00EC6BC8">
        <w:rPr>
          <w:i/>
          <w:iCs/>
          <w:color w:val="auto"/>
          <w:sz w:val="28"/>
          <w:szCs w:val="28"/>
        </w:rPr>
        <w:t>:</w:t>
      </w:r>
      <w:r w:rsidRPr="00EC6BC8">
        <w:rPr>
          <w:color w:val="auto"/>
          <w:sz w:val="28"/>
          <w:szCs w:val="28"/>
        </w:rPr>
        <w:t xml:space="preserve"> из-за возможного увеличения риска возникновения язв или желудочно-кишечного кровотечения.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iCs/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 xml:space="preserve">Антикоагулянты: </w:t>
      </w:r>
      <w:r w:rsidRPr="00EC6BC8">
        <w:rPr>
          <w:iCs/>
          <w:color w:val="auto"/>
          <w:sz w:val="28"/>
          <w:szCs w:val="28"/>
        </w:rPr>
        <w:t xml:space="preserve">НПВП могут усиливать эффект антикоагулянтов, в частности, варфарина и тромболитических препаратов.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i/>
          <w:iCs/>
          <w:color w:val="auto"/>
          <w:sz w:val="28"/>
          <w:szCs w:val="28"/>
        </w:rPr>
      </w:pPr>
      <w:proofErr w:type="spellStart"/>
      <w:r w:rsidRPr="00EC6BC8">
        <w:rPr>
          <w:i/>
          <w:iCs/>
          <w:color w:val="auto"/>
          <w:sz w:val="28"/>
          <w:szCs w:val="28"/>
        </w:rPr>
        <w:lastRenderedPageBreak/>
        <w:t>Антиагреганты</w:t>
      </w:r>
      <w:proofErr w:type="spellEnd"/>
      <w:r w:rsidRPr="00EC6BC8">
        <w:rPr>
          <w:i/>
          <w:iCs/>
          <w:color w:val="auto"/>
          <w:sz w:val="28"/>
          <w:szCs w:val="28"/>
        </w:rPr>
        <w:t xml:space="preserve"> и селективные ингибиторы обратного захвата серотонина (СИОЗС): </w:t>
      </w:r>
      <w:r w:rsidRPr="00EC6BC8">
        <w:rPr>
          <w:iCs/>
          <w:color w:val="auto"/>
          <w:sz w:val="28"/>
          <w:szCs w:val="28"/>
        </w:rPr>
        <w:t xml:space="preserve">повышенный риск </w:t>
      </w:r>
      <w:r w:rsidRPr="00EC6BC8">
        <w:rPr>
          <w:color w:val="auto"/>
          <w:sz w:val="28"/>
          <w:szCs w:val="28"/>
        </w:rPr>
        <w:t xml:space="preserve">возникновения </w:t>
      </w:r>
      <w:r w:rsidRPr="00EC6BC8">
        <w:rPr>
          <w:iCs/>
          <w:color w:val="auto"/>
          <w:sz w:val="28"/>
          <w:szCs w:val="28"/>
        </w:rPr>
        <w:t>желудочно-кишечного кровотечения.</w:t>
      </w:r>
      <w:r w:rsidRPr="00EC6BC8">
        <w:rPr>
          <w:i/>
          <w:iCs/>
          <w:color w:val="auto"/>
          <w:sz w:val="28"/>
          <w:szCs w:val="28"/>
        </w:rPr>
        <w:t xml:space="preserve">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i/>
          <w:iCs/>
          <w:color w:val="auto"/>
          <w:sz w:val="28"/>
          <w:szCs w:val="28"/>
        </w:rPr>
      </w:pPr>
      <w:proofErr w:type="spellStart"/>
      <w:r w:rsidRPr="00EC6BC8">
        <w:rPr>
          <w:i/>
          <w:iCs/>
          <w:color w:val="auto"/>
          <w:sz w:val="28"/>
          <w:szCs w:val="28"/>
        </w:rPr>
        <w:t>Антигипертензивные</w:t>
      </w:r>
      <w:proofErr w:type="spellEnd"/>
      <w:r w:rsidRPr="00EC6BC8">
        <w:rPr>
          <w:i/>
          <w:iCs/>
          <w:color w:val="auto"/>
          <w:sz w:val="28"/>
          <w:szCs w:val="28"/>
        </w:rPr>
        <w:t xml:space="preserve"> препараты (ингибиторы А</w:t>
      </w:r>
      <w:r w:rsidR="00E366CF" w:rsidRPr="00EC6BC8">
        <w:rPr>
          <w:i/>
          <w:iCs/>
          <w:color w:val="auto"/>
          <w:sz w:val="28"/>
          <w:szCs w:val="28"/>
        </w:rPr>
        <w:t>К</w:t>
      </w:r>
      <w:r w:rsidRPr="00EC6BC8">
        <w:rPr>
          <w:i/>
          <w:iCs/>
          <w:color w:val="auto"/>
          <w:sz w:val="28"/>
          <w:szCs w:val="28"/>
        </w:rPr>
        <w:t xml:space="preserve">Ф и антагонисты </w:t>
      </w:r>
      <w:proofErr w:type="spellStart"/>
      <w:r w:rsidRPr="00EC6BC8">
        <w:rPr>
          <w:i/>
          <w:iCs/>
          <w:color w:val="auto"/>
          <w:sz w:val="28"/>
          <w:szCs w:val="28"/>
        </w:rPr>
        <w:t>ангиотензина</w:t>
      </w:r>
      <w:proofErr w:type="spellEnd"/>
      <w:r w:rsidRPr="00EC6BC8">
        <w:rPr>
          <w:i/>
          <w:iCs/>
          <w:color w:val="auto"/>
          <w:sz w:val="28"/>
          <w:szCs w:val="28"/>
        </w:rPr>
        <w:t xml:space="preserve"> II):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НПВП могут снижать эффективность препаратов этих групп. У некоторых пациентов с нарушением почечной функции (например, у пациентов с обезвоживанием или у пациентов пожилого возраста с нарушением почечной функции) одновременное назначение ингибиторов А</w:t>
      </w:r>
      <w:r w:rsidR="00E366CF" w:rsidRPr="00EC6BC8">
        <w:rPr>
          <w:sz w:val="28"/>
          <w:szCs w:val="28"/>
        </w:rPr>
        <w:t>К</w:t>
      </w:r>
      <w:r w:rsidRPr="00EC6BC8">
        <w:rPr>
          <w:sz w:val="28"/>
          <w:szCs w:val="28"/>
        </w:rPr>
        <w:t xml:space="preserve">Ф или антагонистов </w:t>
      </w:r>
      <w:proofErr w:type="spellStart"/>
      <w:r w:rsidRPr="00EC6BC8">
        <w:rPr>
          <w:sz w:val="28"/>
          <w:szCs w:val="28"/>
        </w:rPr>
        <w:t>ангиотензина</w:t>
      </w:r>
      <w:proofErr w:type="spellEnd"/>
      <w:r w:rsidRPr="00EC6BC8">
        <w:rPr>
          <w:sz w:val="28"/>
          <w:szCs w:val="28"/>
        </w:rPr>
        <w:t xml:space="preserve"> II и средств, ингибирующих </w:t>
      </w:r>
      <w:proofErr w:type="spellStart"/>
      <w:r w:rsidRPr="00EC6BC8">
        <w:rPr>
          <w:sz w:val="28"/>
          <w:szCs w:val="28"/>
        </w:rPr>
        <w:t>циклооксигеназу</w:t>
      </w:r>
      <w:proofErr w:type="spellEnd"/>
      <w:r w:rsidRPr="00EC6BC8">
        <w:rPr>
          <w:sz w:val="28"/>
          <w:szCs w:val="28"/>
        </w:rPr>
        <w:t xml:space="preserve">, может привести к ухудшению почечной функции, включая развитие острой почечной недостаточности (обычно обратимой). Эти взаимодействия следует учитывать у пациентов, принимающих </w:t>
      </w:r>
      <w:proofErr w:type="spellStart"/>
      <w:r w:rsidRPr="00EC6BC8">
        <w:rPr>
          <w:sz w:val="28"/>
          <w:szCs w:val="28"/>
        </w:rPr>
        <w:t>коксиб</w:t>
      </w:r>
      <w:r w:rsidR="00E366CF" w:rsidRPr="00EC6BC8">
        <w:rPr>
          <w:sz w:val="28"/>
          <w:szCs w:val="28"/>
        </w:rPr>
        <w:t>ы</w:t>
      </w:r>
      <w:proofErr w:type="spellEnd"/>
      <w:r w:rsidR="00E366CF" w:rsidRPr="00EC6BC8">
        <w:rPr>
          <w:sz w:val="28"/>
          <w:szCs w:val="28"/>
        </w:rPr>
        <w:t xml:space="preserve"> одновременно с ингибиторами АК</w:t>
      </w:r>
      <w:r w:rsidRPr="00EC6BC8">
        <w:rPr>
          <w:sz w:val="28"/>
          <w:szCs w:val="28"/>
        </w:rPr>
        <w:t xml:space="preserve">Ф или антагонистами </w:t>
      </w:r>
      <w:proofErr w:type="spellStart"/>
      <w:r w:rsidRPr="00EC6BC8">
        <w:rPr>
          <w:sz w:val="28"/>
          <w:szCs w:val="28"/>
        </w:rPr>
        <w:t>ангиотензина</w:t>
      </w:r>
      <w:proofErr w:type="spellEnd"/>
      <w:r w:rsidRPr="00EC6BC8">
        <w:rPr>
          <w:sz w:val="28"/>
          <w:szCs w:val="28"/>
        </w:rPr>
        <w:t xml:space="preserve"> II. В связи с этим совместное применение вышеуказанных средств следует назначать с осторожностью, особенно у пожилых лиц. Пациентам следует обеспечить адекватную гидратацию и проводить периодический мониторинг почечной функции после начала комбинированной терапии.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color w:val="auto"/>
          <w:sz w:val="28"/>
          <w:szCs w:val="28"/>
        </w:rPr>
        <w:t>Диуретики:</w:t>
      </w:r>
      <w:r w:rsidRPr="00EC6BC8">
        <w:rPr>
          <w:color w:val="auto"/>
          <w:sz w:val="28"/>
          <w:szCs w:val="28"/>
        </w:rPr>
        <w:t xml:space="preserve"> снижение мочегонного эффекта. Диуретики могут повышать риск </w:t>
      </w:r>
      <w:proofErr w:type="spellStart"/>
      <w:r w:rsidRPr="00EC6BC8">
        <w:rPr>
          <w:color w:val="auto"/>
          <w:sz w:val="28"/>
          <w:szCs w:val="28"/>
        </w:rPr>
        <w:t>нефротоксичности</w:t>
      </w:r>
      <w:proofErr w:type="spellEnd"/>
      <w:r w:rsidRPr="00EC6BC8">
        <w:rPr>
          <w:color w:val="auto"/>
          <w:sz w:val="28"/>
          <w:szCs w:val="28"/>
        </w:rPr>
        <w:t xml:space="preserve"> НПВП.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 xml:space="preserve">Сердечные гликозиды: </w:t>
      </w:r>
      <w:r w:rsidRPr="00EC6BC8">
        <w:rPr>
          <w:color w:val="auto"/>
          <w:sz w:val="28"/>
          <w:szCs w:val="28"/>
        </w:rPr>
        <w:t xml:space="preserve">одновременное назначение НПВП и сердечных гликозидов может привести к усугублению сердечной недостаточности, снижению скорости клубочковой фильтрации и увеличению концентрации сердечных гликозидов в плазме крови.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>Препараты лития:</w:t>
      </w:r>
      <w:r w:rsidRPr="00EC6BC8">
        <w:rPr>
          <w:color w:val="auto"/>
          <w:sz w:val="28"/>
          <w:szCs w:val="28"/>
        </w:rPr>
        <w:t xml:space="preserve"> существуют данные о вероятности увеличения концентрации лития в плазме крови на фоне применения НПВП.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proofErr w:type="spellStart"/>
      <w:r w:rsidRPr="00EC6BC8">
        <w:rPr>
          <w:i/>
          <w:color w:val="auto"/>
          <w:sz w:val="28"/>
          <w:szCs w:val="28"/>
        </w:rPr>
        <w:t>Метотрексат</w:t>
      </w:r>
      <w:proofErr w:type="spellEnd"/>
      <w:r w:rsidRPr="00EC6BC8">
        <w:rPr>
          <w:i/>
          <w:color w:val="auto"/>
          <w:sz w:val="28"/>
          <w:szCs w:val="28"/>
        </w:rPr>
        <w:t>:</w:t>
      </w:r>
      <w:r w:rsidRPr="00EC6BC8">
        <w:rPr>
          <w:color w:val="auto"/>
          <w:sz w:val="28"/>
          <w:szCs w:val="28"/>
        </w:rPr>
        <w:t xml:space="preserve"> существуют данные о вероятности увеличения концентрации </w:t>
      </w:r>
      <w:proofErr w:type="spellStart"/>
      <w:r w:rsidRPr="00EC6BC8">
        <w:rPr>
          <w:color w:val="auto"/>
          <w:sz w:val="28"/>
          <w:szCs w:val="28"/>
        </w:rPr>
        <w:t>метотрексата</w:t>
      </w:r>
      <w:proofErr w:type="spellEnd"/>
      <w:r w:rsidRPr="00EC6BC8">
        <w:rPr>
          <w:color w:val="auto"/>
          <w:sz w:val="28"/>
          <w:szCs w:val="28"/>
        </w:rPr>
        <w:t xml:space="preserve"> в плазме крови на фоне применения НПВП.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>Циклоспорин:</w:t>
      </w:r>
      <w:r w:rsidRPr="00EC6BC8">
        <w:rPr>
          <w:color w:val="auto"/>
          <w:sz w:val="28"/>
          <w:szCs w:val="28"/>
        </w:rPr>
        <w:t xml:space="preserve"> увеличение риска </w:t>
      </w:r>
      <w:proofErr w:type="spellStart"/>
      <w:r w:rsidRPr="00EC6BC8">
        <w:rPr>
          <w:color w:val="auto"/>
          <w:sz w:val="28"/>
          <w:szCs w:val="28"/>
        </w:rPr>
        <w:t>нефротоксичности</w:t>
      </w:r>
      <w:proofErr w:type="spellEnd"/>
      <w:r w:rsidRPr="00EC6BC8">
        <w:rPr>
          <w:color w:val="auto"/>
          <w:sz w:val="28"/>
          <w:szCs w:val="28"/>
        </w:rPr>
        <w:t xml:space="preserve"> при одновременном назначении НПВП и циклоспорина.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proofErr w:type="spellStart"/>
      <w:r w:rsidRPr="00EC6BC8">
        <w:rPr>
          <w:i/>
          <w:iCs/>
          <w:color w:val="auto"/>
          <w:sz w:val="28"/>
          <w:szCs w:val="28"/>
        </w:rPr>
        <w:t>Мифепристон</w:t>
      </w:r>
      <w:proofErr w:type="spellEnd"/>
      <w:r w:rsidRPr="00EC6BC8">
        <w:rPr>
          <w:i/>
          <w:iCs/>
          <w:color w:val="auto"/>
          <w:sz w:val="28"/>
          <w:szCs w:val="28"/>
        </w:rPr>
        <w:t>:</w:t>
      </w:r>
      <w:r w:rsidRPr="00EC6BC8">
        <w:rPr>
          <w:color w:val="auto"/>
          <w:sz w:val="28"/>
          <w:szCs w:val="28"/>
        </w:rPr>
        <w:t xml:space="preserve"> прием НПВП следует начинать не ранее, чем через 8-12 дней после приема </w:t>
      </w:r>
      <w:proofErr w:type="spellStart"/>
      <w:r w:rsidRPr="00EC6BC8">
        <w:rPr>
          <w:color w:val="auto"/>
          <w:sz w:val="28"/>
          <w:szCs w:val="28"/>
        </w:rPr>
        <w:t>мифепристона</w:t>
      </w:r>
      <w:proofErr w:type="spellEnd"/>
      <w:r w:rsidRPr="00EC6BC8">
        <w:rPr>
          <w:color w:val="auto"/>
          <w:sz w:val="28"/>
          <w:szCs w:val="28"/>
        </w:rPr>
        <w:t xml:space="preserve">, поскольку НПВП могут снижать эффективность </w:t>
      </w:r>
      <w:proofErr w:type="spellStart"/>
      <w:r w:rsidRPr="00EC6BC8">
        <w:rPr>
          <w:color w:val="auto"/>
          <w:sz w:val="28"/>
          <w:szCs w:val="28"/>
        </w:rPr>
        <w:t>мифепристона</w:t>
      </w:r>
      <w:proofErr w:type="spellEnd"/>
      <w:r w:rsidRPr="00EC6BC8">
        <w:rPr>
          <w:color w:val="auto"/>
          <w:sz w:val="28"/>
          <w:szCs w:val="28"/>
        </w:rPr>
        <w:t xml:space="preserve">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r w:rsidRPr="00EC6BC8">
        <w:rPr>
          <w:i/>
          <w:iCs/>
          <w:color w:val="auto"/>
          <w:sz w:val="28"/>
          <w:szCs w:val="28"/>
        </w:rPr>
        <w:t>Такролимус:</w:t>
      </w:r>
      <w:r w:rsidRPr="00EC6BC8">
        <w:rPr>
          <w:color w:val="auto"/>
          <w:sz w:val="28"/>
          <w:szCs w:val="28"/>
        </w:rPr>
        <w:t xml:space="preserve"> при одновременном назначении НПВП и такролимуса возможно увеличение риска </w:t>
      </w:r>
      <w:proofErr w:type="spellStart"/>
      <w:r w:rsidRPr="00EC6BC8">
        <w:rPr>
          <w:color w:val="auto"/>
          <w:sz w:val="28"/>
          <w:szCs w:val="28"/>
        </w:rPr>
        <w:t>нефротоксичности</w:t>
      </w:r>
      <w:proofErr w:type="spellEnd"/>
      <w:r w:rsidRPr="00EC6BC8">
        <w:rPr>
          <w:color w:val="auto"/>
          <w:sz w:val="28"/>
          <w:szCs w:val="28"/>
        </w:rPr>
        <w:t xml:space="preserve">. </w:t>
      </w:r>
    </w:p>
    <w:p w:rsidR="00F95CE9" w:rsidRPr="00EC6BC8" w:rsidRDefault="00F95CE9" w:rsidP="00F95CE9">
      <w:pPr>
        <w:pStyle w:val="14"/>
        <w:spacing w:before="0" w:after="0"/>
        <w:contextualSpacing/>
        <w:jc w:val="both"/>
        <w:rPr>
          <w:color w:val="auto"/>
          <w:sz w:val="28"/>
          <w:szCs w:val="28"/>
        </w:rPr>
      </w:pPr>
      <w:proofErr w:type="spellStart"/>
      <w:r w:rsidRPr="00EC6BC8">
        <w:rPr>
          <w:i/>
          <w:iCs/>
          <w:color w:val="auto"/>
          <w:sz w:val="28"/>
          <w:szCs w:val="28"/>
        </w:rPr>
        <w:t>Зидовудин</w:t>
      </w:r>
      <w:proofErr w:type="spellEnd"/>
      <w:r w:rsidRPr="00EC6BC8">
        <w:rPr>
          <w:i/>
          <w:iCs/>
          <w:color w:val="auto"/>
          <w:sz w:val="28"/>
          <w:szCs w:val="28"/>
        </w:rPr>
        <w:t xml:space="preserve">: </w:t>
      </w:r>
      <w:r w:rsidRPr="00EC6BC8">
        <w:rPr>
          <w:iCs/>
          <w:color w:val="auto"/>
          <w:sz w:val="28"/>
          <w:szCs w:val="28"/>
        </w:rPr>
        <w:t>о</w:t>
      </w:r>
      <w:r w:rsidRPr="00EC6BC8">
        <w:rPr>
          <w:color w:val="auto"/>
          <w:sz w:val="28"/>
          <w:szCs w:val="28"/>
        </w:rPr>
        <w:t xml:space="preserve">дновременное применение НПВП и </w:t>
      </w:r>
      <w:proofErr w:type="spellStart"/>
      <w:r w:rsidRPr="00EC6BC8">
        <w:rPr>
          <w:color w:val="auto"/>
          <w:sz w:val="28"/>
          <w:szCs w:val="28"/>
        </w:rPr>
        <w:t>зидовудина</w:t>
      </w:r>
      <w:proofErr w:type="spellEnd"/>
      <w:r w:rsidRPr="00EC6BC8">
        <w:rPr>
          <w:color w:val="auto"/>
          <w:sz w:val="28"/>
          <w:szCs w:val="28"/>
        </w:rPr>
        <w:t xml:space="preserve"> может привести к повышению гематологической токсичности. Имеются данные о повышенном риске возникновения гемартроза и гематом у ВИЧ-положительных пациентов с гемофилией, получавших совместное лечение </w:t>
      </w:r>
      <w:proofErr w:type="spellStart"/>
      <w:r w:rsidRPr="00EC6BC8">
        <w:rPr>
          <w:color w:val="auto"/>
          <w:sz w:val="28"/>
          <w:szCs w:val="28"/>
        </w:rPr>
        <w:t>зидовудином</w:t>
      </w:r>
      <w:proofErr w:type="spellEnd"/>
      <w:r w:rsidRPr="00EC6BC8">
        <w:rPr>
          <w:color w:val="auto"/>
          <w:sz w:val="28"/>
          <w:szCs w:val="28"/>
        </w:rPr>
        <w:t xml:space="preserve"> и ибупрофеном. </w:t>
      </w:r>
    </w:p>
    <w:p w:rsidR="00F95CE9" w:rsidRPr="00EC6BC8" w:rsidRDefault="00F95CE9" w:rsidP="00F95C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i/>
          <w:iCs/>
          <w:sz w:val="28"/>
          <w:szCs w:val="28"/>
        </w:rPr>
        <w:t xml:space="preserve">Антибиотики </w:t>
      </w:r>
      <w:proofErr w:type="spellStart"/>
      <w:r w:rsidRPr="00EC6BC8">
        <w:rPr>
          <w:rFonts w:ascii="Times New Roman" w:hAnsi="Times New Roman"/>
          <w:i/>
          <w:iCs/>
          <w:sz w:val="28"/>
          <w:szCs w:val="28"/>
        </w:rPr>
        <w:t>хинолонового</w:t>
      </w:r>
      <w:proofErr w:type="spellEnd"/>
      <w:r w:rsidRPr="00EC6BC8">
        <w:rPr>
          <w:rFonts w:ascii="Times New Roman" w:hAnsi="Times New Roman"/>
          <w:i/>
          <w:iCs/>
          <w:sz w:val="28"/>
          <w:szCs w:val="28"/>
        </w:rPr>
        <w:t xml:space="preserve"> ряда: </w:t>
      </w:r>
      <w:r w:rsidRPr="00EC6BC8">
        <w:rPr>
          <w:rFonts w:ascii="Times New Roman" w:hAnsi="Times New Roman"/>
          <w:iCs/>
          <w:sz w:val="28"/>
          <w:szCs w:val="28"/>
        </w:rPr>
        <w:t>у</w:t>
      </w:r>
      <w:r w:rsidRPr="00EC6BC8">
        <w:rPr>
          <w:rFonts w:ascii="Times New Roman" w:hAnsi="Times New Roman"/>
          <w:sz w:val="28"/>
          <w:szCs w:val="28"/>
        </w:rPr>
        <w:t xml:space="preserve"> пациентов, получающих совместное лечение НПВП и антибиотиками </w:t>
      </w:r>
      <w:proofErr w:type="spellStart"/>
      <w:r w:rsidRPr="00EC6BC8">
        <w:rPr>
          <w:rFonts w:ascii="Times New Roman" w:hAnsi="Times New Roman"/>
          <w:sz w:val="28"/>
          <w:szCs w:val="28"/>
        </w:rPr>
        <w:t>хинолонового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ряда, возможно увеличение риска возникновения судорог.</w:t>
      </w:r>
    </w:p>
    <w:p w:rsidR="00F95CE9" w:rsidRPr="00EC6BC8" w:rsidRDefault="00F95CE9" w:rsidP="00F95C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BC8">
        <w:rPr>
          <w:rFonts w:ascii="Times New Roman" w:hAnsi="Times New Roman"/>
          <w:i/>
          <w:sz w:val="28"/>
          <w:szCs w:val="28"/>
        </w:rPr>
        <w:t>Аминогликозиды</w:t>
      </w:r>
      <w:proofErr w:type="spellEnd"/>
      <w:r w:rsidRPr="00EC6BC8">
        <w:rPr>
          <w:rFonts w:ascii="Times New Roman" w:hAnsi="Times New Roman"/>
          <w:i/>
          <w:sz w:val="28"/>
          <w:szCs w:val="28"/>
        </w:rPr>
        <w:t>:</w:t>
      </w:r>
      <w:r w:rsidRPr="00EC6BC8">
        <w:rPr>
          <w:rFonts w:ascii="Times New Roman" w:hAnsi="Times New Roman"/>
          <w:sz w:val="28"/>
          <w:szCs w:val="28"/>
        </w:rPr>
        <w:t xml:space="preserve"> у чувствительных пациентов могут замедлять выведение аминогликозидов и вызвать повышения их концентрации в плазме.</w:t>
      </w:r>
    </w:p>
    <w:p w:rsidR="00F95CE9" w:rsidRPr="00EC6BC8" w:rsidRDefault="00F95CE9" w:rsidP="00F95C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BC8">
        <w:rPr>
          <w:rFonts w:ascii="Times New Roman" w:hAnsi="Times New Roman"/>
          <w:i/>
          <w:sz w:val="28"/>
          <w:szCs w:val="28"/>
        </w:rPr>
        <w:lastRenderedPageBreak/>
        <w:t>Пробенецид</w:t>
      </w:r>
      <w:proofErr w:type="spellEnd"/>
      <w:r w:rsidRPr="00EC6BC8">
        <w:rPr>
          <w:rFonts w:ascii="Times New Roman" w:hAnsi="Times New Roman"/>
          <w:i/>
          <w:sz w:val="28"/>
          <w:szCs w:val="28"/>
        </w:rPr>
        <w:t>:</w:t>
      </w:r>
      <w:r w:rsidRPr="00EC6BC8">
        <w:rPr>
          <w:rFonts w:ascii="Times New Roman" w:hAnsi="Times New Roman"/>
          <w:sz w:val="28"/>
          <w:szCs w:val="28"/>
        </w:rPr>
        <w:t xml:space="preserve"> могут замедлять метаболизм и выведение НПВП.</w:t>
      </w:r>
    </w:p>
    <w:p w:rsidR="00B45DCD" w:rsidRPr="00EC6BC8" w:rsidRDefault="00F95CE9" w:rsidP="00F95C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Гипогликемические средства для перорального применения:</w:t>
      </w:r>
      <w:r w:rsidRPr="00EC6BC8">
        <w:rPr>
          <w:rFonts w:ascii="Times New Roman" w:hAnsi="Times New Roman"/>
          <w:sz w:val="28"/>
          <w:szCs w:val="28"/>
        </w:rPr>
        <w:t xml:space="preserve"> НПВП могут замедлять метаболизм производных </w:t>
      </w:r>
      <w:proofErr w:type="spellStart"/>
      <w:r w:rsidRPr="00EC6BC8">
        <w:rPr>
          <w:rFonts w:ascii="Times New Roman" w:hAnsi="Times New Roman"/>
          <w:sz w:val="28"/>
          <w:szCs w:val="28"/>
        </w:rPr>
        <w:t>сульфонилмочевины</w:t>
      </w:r>
      <w:proofErr w:type="spellEnd"/>
      <w:r w:rsidRPr="00EC6BC8">
        <w:rPr>
          <w:rFonts w:ascii="Times New Roman" w:hAnsi="Times New Roman"/>
          <w:sz w:val="28"/>
          <w:szCs w:val="28"/>
        </w:rPr>
        <w:t>, увеличивать период полувыведения и усиливать гипогликемический эффект.</w:t>
      </w:r>
    </w:p>
    <w:p w:rsidR="00D43297" w:rsidRPr="00EC6BC8" w:rsidRDefault="00D43297" w:rsidP="00B45D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Нежелательные эффекты можно свести к минимуму, если принимать препарат в течение непродолжительного промежутка времени, в минимальной эффективной дозе, необходимой для устранения симптомов. 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У людей пожилого возраста наблюдается повышенная частота побочных реакций на фоне применения НПВП, особенно желудочно-кишечных кровотечений и перфораций, в некоторых случаях со смертельным исходом.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Дыхательная система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i/>
          <w:sz w:val="28"/>
          <w:szCs w:val="28"/>
        </w:rPr>
        <w:t>У</w:t>
      </w:r>
      <w:r w:rsidRPr="00EC6BC8">
        <w:rPr>
          <w:sz w:val="28"/>
          <w:szCs w:val="28"/>
        </w:rPr>
        <w:t xml:space="preserve"> пациентов с бронхиальной астмой или аллергическим заболеванием в стадии обострения, а также у пациентов с бронхиальной астмы/аллергического заболевания в анамнезе препарат может спровоцировать </w:t>
      </w:r>
      <w:proofErr w:type="spellStart"/>
      <w:r w:rsidRPr="00EC6BC8">
        <w:rPr>
          <w:sz w:val="28"/>
          <w:szCs w:val="28"/>
        </w:rPr>
        <w:t>бронхоспазм</w:t>
      </w:r>
      <w:proofErr w:type="spellEnd"/>
      <w:r w:rsidRPr="00EC6BC8">
        <w:rPr>
          <w:sz w:val="28"/>
          <w:szCs w:val="28"/>
        </w:rPr>
        <w:t xml:space="preserve">. 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Другие НПВП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Следует избегать одновременного применения ибупрофена с другими НПВП, в частности, селективными ингибиторами циклооксигеназы-2.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Системная красная волчанка и смешанное заболевание соединительной ткани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Применение препарата у пациентов с системной красной волчанкой или смешанным заболеванием соединительной ткани связано с повышенным риском развития асептического менингита. 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 xml:space="preserve">Почечная система 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Препарат может вызвать ухудшение функции почек с развитием почечной недостаточности. 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Печеночная система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pacing w:val="-4"/>
          <w:sz w:val="28"/>
          <w:szCs w:val="28"/>
        </w:rPr>
        <w:t xml:space="preserve">Печеночная дисфункция (печеночная недостаточность, цирроз печени с портальной гипертензией, </w:t>
      </w:r>
      <w:proofErr w:type="spellStart"/>
      <w:r w:rsidRPr="00EC6BC8">
        <w:rPr>
          <w:spacing w:val="-4"/>
          <w:sz w:val="28"/>
          <w:szCs w:val="28"/>
        </w:rPr>
        <w:t>гипербилирубинемия</w:t>
      </w:r>
      <w:proofErr w:type="spellEnd"/>
      <w:r w:rsidRPr="00EC6BC8">
        <w:rPr>
          <w:spacing w:val="-4"/>
          <w:sz w:val="28"/>
          <w:szCs w:val="28"/>
        </w:rPr>
        <w:t>) может усугубляться</w:t>
      </w:r>
      <w:r w:rsidR="00E366CF" w:rsidRPr="00EC6BC8">
        <w:rPr>
          <w:spacing w:val="-4"/>
          <w:sz w:val="28"/>
          <w:szCs w:val="28"/>
        </w:rPr>
        <w:t>.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Нарушение фертильности у женщин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sz w:val="28"/>
          <w:szCs w:val="28"/>
        </w:rPr>
        <w:t xml:space="preserve">Есть ограниченные данные о том, что лекарственные средства, ингибирующие синтез </w:t>
      </w:r>
      <w:proofErr w:type="spellStart"/>
      <w:r w:rsidRPr="00EC6BC8">
        <w:rPr>
          <w:sz w:val="28"/>
          <w:szCs w:val="28"/>
        </w:rPr>
        <w:t>циклооксигеназы</w:t>
      </w:r>
      <w:proofErr w:type="spellEnd"/>
      <w:r w:rsidRPr="00EC6BC8">
        <w:rPr>
          <w:sz w:val="28"/>
          <w:szCs w:val="28"/>
        </w:rPr>
        <w:t xml:space="preserve"> / простагландинов, могут вызвать нарушение репродуктивной функции у женщин вследствие влияния на процесс овуляции. Данный эффект обратим при прекращении приема препарата</w:t>
      </w:r>
      <w:r w:rsidRPr="00EC6BC8">
        <w:rPr>
          <w:i/>
          <w:color w:val="FF0000"/>
          <w:sz w:val="28"/>
          <w:szCs w:val="28"/>
        </w:rPr>
        <w:t>.</w:t>
      </w:r>
    </w:p>
    <w:p w:rsidR="00F95CE9" w:rsidRPr="00EC6BC8" w:rsidRDefault="00F95CE9" w:rsidP="00F95CE9">
      <w:pPr>
        <w:pStyle w:val="a9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Желудочно-кишечный тракт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Необходимо с осторожностью применять препарат у пациентов, имеющих в анамнезе заболевания желудочно-кишечного тракта (неспецифический язвенный колит, болезнь Крона), поскольку при использовании препаратов данной группы возможно обострение этих заболеваний. </w:t>
      </w:r>
    </w:p>
    <w:p w:rsidR="00F95CE9" w:rsidRPr="00EC6BC8" w:rsidRDefault="00F95CE9" w:rsidP="00357FF7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Имеются сообщения о случаях возникновения желудочно-кишечного кровотечения, язв и перфорации в любой момент применения любых препаратов из группы НПВП, при наличии или отсутствии </w:t>
      </w:r>
      <w:r w:rsidRPr="00EC6BC8">
        <w:rPr>
          <w:sz w:val="28"/>
          <w:szCs w:val="28"/>
        </w:rPr>
        <w:lastRenderedPageBreak/>
        <w:t>предупреждающих симптомов</w:t>
      </w:r>
      <w:r w:rsidR="009B4E11" w:rsidRPr="00EC6BC8">
        <w:rPr>
          <w:sz w:val="28"/>
          <w:szCs w:val="28"/>
        </w:rPr>
        <w:t>,</w:t>
      </w:r>
      <w:r w:rsidRPr="00EC6BC8">
        <w:rPr>
          <w:sz w:val="28"/>
          <w:szCs w:val="28"/>
        </w:rPr>
        <w:t xml:space="preserve"> или предыдущего анамнеза подобных осложнений, которые могут быть фатальными. </w:t>
      </w:r>
    </w:p>
    <w:p w:rsidR="00F95CE9" w:rsidRPr="00EC6BC8" w:rsidRDefault="00F95CE9" w:rsidP="00357F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Риск желудочно-кишечного кровотечения, изъязвления или перфорации возрастает с увеличением дозы НПВС, особенно у пациентов, имеющих в анамнезе язвенную болезнь, а также у пожилых пациентов. Эти пациенты должны начинать лечение с минимальных доз. Комбинированная терапия с защитными средствами (например, с </w:t>
      </w:r>
      <w:proofErr w:type="spellStart"/>
      <w:r w:rsidRPr="00EC6BC8">
        <w:rPr>
          <w:rFonts w:ascii="Times New Roman" w:hAnsi="Times New Roman"/>
          <w:sz w:val="28"/>
          <w:szCs w:val="28"/>
        </w:rPr>
        <w:t>мизопростолом</w:t>
      </w:r>
      <w:proofErr w:type="spellEnd"/>
      <w:r w:rsidRPr="00EC6BC8">
        <w:rPr>
          <w:rFonts w:ascii="Times New Roman" w:hAnsi="Times New Roman"/>
          <w:sz w:val="28"/>
          <w:szCs w:val="28"/>
        </w:rPr>
        <w:t>, ингибиторами протонной помпы) должна быть рассмотрена для этих пациентов, а также для пациентов, которым необходим прием аспирина или других средств, которые могут усилить риск возникновения желудочно-кишечного кровотечения.</w:t>
      </w:r>
      <w:r w:rsidRPr="00EC6BC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83AC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Пациенты, имеющие в анамнезе желудочно-кишечные заболевания, в частности, пожилые люди, должны сообщать о любых необычных болях в желудке (особенно желудочно-кишечных кровотечениях), особенно на начальной стадии лечения.</w:t>
      </w:r>
      <w:r w:rsidR="00083AC9" w:rsidRPr="00EC6BC8">
        <w:rPr>
          <w:sz w:val="28"/>
          <w:szCs w:val="28"/>
        </w:rPr>
        <w:t xml:space="preserve"> 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Следует соблюдать осторожность при приеме препарата у пациентов с сопутствующей лекарственной терапией, увеличивающей риск язвы или кровотечения (оральные кортикостероиды, антикоагулянты, такие как </w:t>
      </w:r>
      <w:proofErr w:type="spellStart"/>
      <w:r w:rsidRPr="00EC6BC8">
        <w:rPr>
          <w:sz w:val="28"/>
          <w:szCs w:val="28"/>
        </w:rPr>
        <w:t>варфарин</w:t>
      </w:r>
      <w:proofErr w:type="spellEnd"/>
      <w:r w:rsidRPr="00EC6BC8">
        <w:rPr>
          <w:sz w:val="28"/>
          <w:szCs w:val="28"/>
        </w:rPr>
        <w:t xml:space="preserve">, ингибиторы обратного захвата серотонина или </w:t>
      </w:r>
      <w:proofErr w:type="spellStart"/>
      <w:r w:rsidRPr="00EC6BC8">
        <w:rPr>
          <w:sz w:val="28"/>
          <w:szCs w:val="28"/>
        </w:rPr>
        <w:t>антитромбоцитарные</w:t>
      </w:r>
      <w:proofErr w:type="spellEnd"/>
      <w:r w:rsidRPr="00EC6BC8">
        <w:rPr>
          <w:sz w:val="28"/>
          <w:szCs w:val="28"/>
        </w:rPr>
        <w:t xml:space="preserve"> препараты, такие как аспирин).</w:t>
      </w:r>
    </w:p>
    <w:p w:rsidR="00F95CE9" w:rsidRPr="00EC6BC8" w:rsidRDefault="00F95CE9" w:rsidP="00083AC9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При возникновении у пациентов, принимающих ибупрофен, желудочно-кишечного кровотечения или язвы, лечение должно быть прекращено.</w:t>
      </w:r>
    </w:p>
    <w:p w:rsidR="00F95CE9" w:rsidRPr="00EC6BC8" w:rsidRDefault="00F95CE9" w:rsidP="00083AC9">
      <w:pPr>
        <w:pStyle w:val="a9"/>
        <w:spacing w:after="0"/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Сердечно-сосудистые и цереброваскулярные эффекты</w:t>
      </w:r>
    </w:p>
    <w:p w:rsidR="00F95CE9" w:rsidRPr="00EC6BC8" w:rsidRDefault="00F95CE9" w:rsidP="00F95C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Рекомендуется с осторожностью применять препарат у пациентов с артериальной гипертензией и/или сердечной недостаточностью (перед применением следует проконсультироваться с врачом) из-за имеющихся сообщений о задержке жидкости, повышении артериального давления и появлении отеков на фоне применения НПВП.</w:t>
      </w:r>
    </w:p>
    <w:p w:rsidR="00F95CE9" w:rsidRPr="00EC6BC8" w:rsidRDefault="00F95CE9" w:rsidP="00F95C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Клинические данные показывают, что применение ибупрофена, особенно в высокой дозе (2400 мг/сутки) в течение длительного времени, может быть связано с незначительным повышением риска артериальных тромботических осложнений (например, инфаркта миокарда или инсульт). </w:t>
      </w:r>
      <w:bookmarkStart w:id="2" w:name="_Hlk531166788"/>
      <w:r w:rsidRPr="00EC6BC8">
        <w:rPr>
          <w:rFonts w:ascii="Times New Roman" w:hAnsi="Times New Roman"/>
          <w:sz w:val="28"/>
          <w:szCs w:val="28"/>
        </w:rPr>
        <w:t xml:space="preserve">В целом эпидемиологические исследования не предполагают, что прием низких доз ибупрофена (т.е. ≤1200 мг/сутки) связан с повышенным риском артериальных тромботических осложнений. </w:t>
      </w:r>
    </w:p>
    <w:bookmarkEnd w:id="2"/>
    <w:p w:rsidR="00F95CE9" w:rsidRPr="00EC6BC8" w:rsidRDefault="00F95CE9" w:rsidP="00F95CE9">
      <w:pPr>
        <w:pStyle w:val="a9"/>
        <w:contextualSpacing/>
        <w:jc w:val="both"/>
        <w:rPr>
          <w:spacing w:val="-4"/>
          <w:sz w:val="28"/>
          <w:szCs w:val="28"/>
        </w:rPr>
      </w:pPr>
      <w:r w:rsidRPr="00EC6BC8">
        <w:rPr>
          <w:spacing w:val="-4"/>
          <w:sz w:val="28"/>
          <w:szCs w:val="28"/>
        </w:rPr>
        <w:t xml:space="preserve">Пациенты с неконтролируемой артериальной гипертензией, застойной сердечной недостаточностью (NYHA II-III класса), установленной ишемической болезнью сердца, заболеваниями периферических артерий и/или цереброваскулярными заболеваниями должны принимать ибупрофен после тщательной консультации, при этом следует избегать назначения препарата в высоких дозах (2400 мг/сутки). </w:t>
      </w:r>
    </w:p>
    <w:p w:rsidR="00F95CE9" w:rsidRPr="00EC6BC8" w:rsidRDefault="00F95CE9" w:rsidP="00F95CE9">
      <w:pPr>
        <w:pStyle w:val="a9"/>
        <w:contextualSpacing/>
        <w:jc w:val="both"/>
        <w:rPr>
          <w:sz w:val="28"/>
          <w:szCs w:val="28"/>
        </w:rPr>
      </w:pPr>
      <w:r w:rsidRPr="00EC6BC8">
        <w:rPr>
          <w:spacing w:val="-4"/>
          <w:sz w:val="28"/>
          <w:szCs w:val="28"/>
        </w:rPr>
        <w:t xml:space="preserve">До начала длительной терапии ибупрофеном, особенно высокими дозами (≥ 2400 мг в сутки), у пациентов с факторами риска развития сердечно-сосудистых осложнений (например, гипертония, </w:t>
      </w:r>
      <w:proofErr w:type="spellStart"/>
      <w:r w:rsidRPr="00EC6BC8">
        <w:rPr>
          <w:spacing w:val="-4"/>
          <w:sz w:val="28"/>
          <w:szCs w:val="28"/>
        </w:rPr>
        <w:t>гиперлипидемия</w:t>
      </w:r>
      <w:proofErr w:type="spellEnd"/>
      <w:r w:rsidRPr="00EC6BC8">
        <w:rPr>
          <w:spacing w:val="-4"/>
          <w:sz w:val="28"/>
          <w:szCs w:val="28"/>
        </w:rPr>
        <w:t xml:space="preserve">, сахарный </w:t>
      </w:r>
      <w:r w:rsidRPr="00EC6BC8">
        <w:rPr>
          <w:spacing w:val="-4"/>
          <w:sz w:val="28"/>
          <w:szCs w:val="28"/>
        </w:rPr>
        <w:lastRenderedPageBreak/>
        <w:t>диабет, курение) необходимо провести тщательную оценку соотношения польза-риск.</w:t>
      </w:r>
    </w:p>
    <w:p w:rsidR="00F95CE9" w:rsidRPr="00EC6BC8" w:rsidRDefault="00F95CE9" w:rsidP="00F95CE9">
      <w:pPr>
        <w:pStyle w:val="a9"/>
        <w:tabs>
          <w:tab w:val="left" w:pos="4002"/>
        </w:tabs>
        <w:contextualSpacing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Тяжелые кожные реакции</w:t>
      </w:r>
    </w:p>
    <w:p w:rsidR="00F95CE9" w:rsidRPr="00EC6BC8" w:rsidRDefault="00F95CE9" w:rsidP="00E72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В связи с приемом НПВП возможно развитие серьезных кожных реакций, некоторых со смертельным исходом, в том числе 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эксфолиативного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дерматита, синдрома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-Джонсона, токсического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эпидермального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некролиза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. В большинстве случаев данные реакции возникали в течение первого месяца лечения. Сообщалось также о развитии острого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генерализованного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экзантематозного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пустулеза</w:t>
      </w:r>
      <w:proofErr w:type="spellEnd"/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 (AGEP) при применении ибупрофен-содержащих препаратов. Прием препарата следует прекратить при первом появлении признаков и симптомов серьезных кожных реакций, таких как кожная сыпь, поражения слизистой оболочки или любые другие признаки гиперчувствительности</w:t>
      </w:r>
      <w:r w:rsidRPr="00EC6BC8">
        <w:rPr>
          <w:rFonts w:ascii="Times New Roman" w:hAnsi="Times New Roman"/>
          <w:sz w:val="28"/>
          <w:szCs w:val="28"/>
        </w:rPr>
        <w:t>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spacing w:val="-4"/>
          <w:sz w:val="28"/>
          <w:szCs w:val="28"/>
        </w:rPr>
      </w:pPr>
      <w:r w:rsidRPr="00EC6BC8">
        <w:rPr>
          <w:sz w:val="28"/>
          <w:szCs w:val="28"/>
        </w:rPr>
        <w:t xml:space="preserve">Применение НПВП у пациентов с ветряной оспой может быть связано с повышенным риском развития тяжелых гнойных осложнений инфекционно-воспалительных заболеваний кожи и подкожно-жировой клетчатки (например, </w:t>
      </w:r>
      <w:proofErr w:type="spellStart"/>
      <w:r w:rsidRPr="00EC6BC8">
        <w:rPr>
          <w:sz w:val="28"/>
          <w:szCs w:val="28"/>
        </w:rPr>
        <w:t>некротизирующего</w:t>
      </w:r>
      <w:proofErr w:type="spellEnd"/>
      <w:r w:rsidRPr="00EC6BC8">
        <w:rPr>
          <w:sz w:val="28"/>
          <w:szCs w:val="28"/>
        </w:rPr>
        <w:t xml:space="preserve"> </w:t>
      </w:r>
      <w:proofErr w:type="spellStart"/>
      <w:r w:rsidRPr="00EC6BC8">
        <w:rPr>
          <w:sz w:val="28"/>
          <w:szCs w:val="28"/>
        </w:rPr>
        <w:t>фасциита</w:t>
      </w:r>
      <w:proofErr w:type="spellEnd"/>
      <w:r w:rsidRPr="00EC6BC8">
        <w:rPr>
          <w:sz w:val="28"/>
          <w:szCs w:val="28"/>
        </w:rPr>
        <w:t>). В связи с этим рекомендуется избегать применения препарата при ветряной оспе.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color w:val="FF0000"/>
          <w:spacing w:val="-4"/>
          <w:sz w:val="28"/>
          <w:szCs w:val="28"/>
        </w:rPr>
      </w:pPr>
      <w:r w:rsidRPr="00EC6BC8">
        <w:rPr>
          <w:sz w:val="28"/>
          <w:szCs w:val="28"/>
        </w:rPr>
        <w:t>У пациентов с сердечными нарушениями, нарушениями функции печени, пожилых пациентов, а также принимающих мочегонные средства, необходимо контролировать функцию почек.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Пациенты пожилого возраста имеют повышенную частоту нежелательных реакций на НПВП. Длительное применение НПВП у пожилых людей не рекомендуется.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Поскольку НПВП влияют на агрегацию тромбоцитов и увеличивают время кровотечения, их следует с осторожностью назначать пациентам с нарушением свертываемости крови.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Беременным, пожилым людям и пациентам с бронхиальной астмой до назначения препарата Ибупрофен Вива Фарм требуется консультация врача.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Применение НПВП в течение длительного времени может усугубить головные боли. В таких случаях прием препарата необходимо немедленно прекратить. Головную боль от чрезмерного использования препаратов следует подозревать у пациентов с частыми или ежедневными головными болями, несмотря на регулярное использование лекарственных препаратов от головной боли.</w:t>
      </w:r>
    </w:p>
    <w:p w:rsidR="00F95CE9" w:rsidRPr="00EC6BC8" w:rsidRDefault="00F95CE9" w:rsidP="00E72C58">
      <w:pPr>
        <w:pStyle w:val="a9"/>
        <w:spacing w:after="0"/>
        <w:contextualSpacing/>
        <w:jc w:val="both"/>
        <w:rPr>
          <w:color w:val="FF0000"/>
          <w:sz w:val="28"/>
          <w:szCs w:val="28"/>
        </w:rPr>
      </w:pPr>
      <w:r w:rsidRPr="00EC6BC8">
        <w:rPr>
          <w:sz w:val="28"/>
          <w:szCs w:val="28"/>
        </w:rPr>
        <w:t>Существует риск почечной недостаточности у обезвоженных детей и подростков.</w:t>
      </w:r>
    </w:p>
    <w:p w:rsidR="00F95CE9" w:rsidRPr="00EC6BC8" w:rsidRDefault="00F95CE9" w:rsidP="00E72C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i/>
          <w:sz w:val="28"/>
          <w:szCs w:val="28"/>
          <w:lang w:eastAsia="ru-RU"/>
        </w:rPr>
        <w:t>Маскировка симптомов скрытых инфекций</w:t>
      </w:r>
    </w:p>
    <w:p w:rsidR="00B45DCD" w:rsidRPr="00EC6BC8" w:rsidRDefault="00F95CE9" w:rsidP="00E72C5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Ибупрофен Вива Фарм может маскировать симптомы инфекционного заболевания, которое может привести к удлинению сроков постановки диагноза и отсроченному началу адекватной терапии, и ухудшению исхода инфекционного заболевания. Ухудшение наблюдалось на фоне бактериальной внебольничной пневмонии и при бактериальном </w:t>
      </w: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осложнении ветряной оспы. В случае назначения ибупрофена при инфекционном заболевании для снижения температуры тела или облегчения боли, рекомендуется обеспечение мониторинга инфекционного заболевания. На амбулаторном этапе, в случае если симптомы сохраняются или ухудшаются, пациенту необходимо обратиться к врачу.</w:t>
      </w:r>
    </w:p>
    <w:p w:rsidR="00D43297" w:rsidRPr="00EC6BC8" w:rsidRDefault="00D43297" w:rsidP="00D91B03">
      <w:pPr>
        <w:pStyle w:val="a9"/>
        <w:spacing w:after="0"/>
        <w:jc w:val="both"/>
        <w:rPr>
          <w:i/>
          <w:sz w:val="28"/>
          <w:szCs w:val="28"/>
        </w:rPr>
      </w:pPr>
      <w:r w:rsidRPr="00EC6BC8">
        <w:rPr>
          <w:i/>
          <w:sz w:val="28"/>
          <w:szCs w:val="28"/>
        </w:rPr>
        <w:t>Во время беременности или лактации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Беременность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Ингибирование синтеза простагландина может отрицательно повлиять на течение беременности и внутриутробное развитие эмбриона/плода. Повышен риск самопроизвольного аборта, развития сердечных пороков и </w:t>
      </w:r>
      <w:proofErr w:type="spellStart"/>
      <w:r w:rsidRPr="00EC6BC8">
        <w:rPr>
          <w:rFonts w:ascii="Times New Roman" w:hAnsi="Times New Roman"/>
          <w:sz w:val="28"/>
          <w:szCs w:val="28"/>
        </w:rPr>
        <w:t>гастрошизиса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после применения ингибитора синтеза простагландинов на ранних сроках беременности. 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Абсолютный риск развития аномалий сердечно-сосудистой системы был увеличен с менее чем 1% до 1,5%. Данный риск возрастает с увеличением дозировки и длительности терапии.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Было показано, что у животных введение ингибитора синтеза простагландина приводит к увеличению пре- и </w:t>
      </w:r>
      <w:proofErr w:type="spellStart"/>
      <w:r w:rsidRPr="00EC6BC8">
        <w:rPr>
          <w:rFonts w:ascii="Times New Roman" w:hAnsi="Times New Roman"/>
          <w:sz w:val="28"/>
          <w:szCs w:val="28"/>
        </w:rPr>
        <w:t>постимплантационной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потери и летальности эмбриона/плода. Кроме того, у животных, получавших ингибитор синтеза простагландинов в период органогенеза, была зарегистрирована повышенная частота различных пороков развития, в том числе со стороны сердечно-сосудистой системы. 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В связи с этим, следует избегать применения препарата в I-II триместрах беременности, при необходимости приема препарата следует проконсультироваться с врачом.</w:t>
      </w:r>
    </w:p>
    <w:p w:rsidR="001D409E" w:rsidRPr="00EC6BC8" w:rsidRDefault="001D409E" w:rsidP="001D40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 xml:space="preserve">Если специалист считает необходимым назначить НПВП </w:t>
      </w:r>
      <w:r w:rsidRPr="00EC6BC8">
        <w:rPr>
          <w:rFonts w:ascii="Times New Roman" w:hAnsi="Times New Roman"/>
          <w:sz w:val="28"/>
          <w:szCs w:val="28"/>
        </w:rPr>
        <w:t>женщинам, планирующим беременность,</w:t>
      </w:r>
      <w:r w:rsidRPr="00EC6BC8">
        <w:rPr>
          <w:rFonts w:ascii="Times New Roman" w:hAnsi="Times New Roman"/>
          <w:bCs/>
          <w:sz w:val="28"/>
          <w:szCs w:val="28"/>
          <w:lang w:eastAsia="ru-RU"/>
        </w:rPr>
        <w:t xml:space="preserve"> беременной женщине на сроке беременности от 20 до 30 недель, то следует применять минимальные эффективные дозы в минимально возможный период времени.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>Применение НПВП примерно на 20 неделе и на более поздних сроках беременности может вызвать развитие нарушений функции почек у плода,</w:t>
      </w:r>
      <w:r w:rsidRPr="00EC6BC8">
        <w:rPr>
          <w:rFonts w:ascii="Times New Roman" w:hAnsi="Times New Roman"/>
          <w:sz w:val="28"/>
          <w:szCs w:val="28"/>
        </w:rPr>
        <w:t xml:space="preserve"> приводящее к </w:t>
      </w:r>
      <w:proofErr w:type="spellStart"/>
      <w:r w:rsidRPr="00EC6BC8">
        <w:rPr>
          <w:rFonts w:ascii="Times New Roman" w:hAnsi="Times New Roman"/>
          <w:sz w:val="28"/>
          <w:szCs w:val="28"/>
        </w:rPr>
        <w:t>олигогидрамниону</w:t>
      </w:r>
      <w:proofErr w:type="spellEnd"/>
      <w:r w:rsidRPr="00EC6BC8">
        <w:rPr>
          <w:rFonts w:ascii="Times New Roman" w:hAnsi="Times New Roman"/>
          <w:sz w:val="28"/>
          <w:szCs w:val="28"/>
        </w:rPr>
        <w:t>, а в некоторых случаях, к почечной недостаточности у новорожденного.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 xml:space="preserve">Данные неблагоприятные исходы в среднем наблюдаются после нескольких дней или недель приема НПВП, хотя в редких случаях сообщалось о развитии </w:t>
      </w:r>
      <w:proofErr w:type="spellStart"/>
      <w:r w:rsidRPr="00EC6BC8">
        <w:rPr>
          <w:rFonts w:ascii="Times New Roman" w:hAnsi="Times New Roman"/>
          <w:bCs/>
          <w:sz w:val="28"/>
          <w:szCs w:val="28"/>
          <w:lang w:eastAsia="ru-RU"/>
        </w:rPr>
        <w:t>олигогидрамниона</w:t>
      </w:r>
      <w:proofErr w:type="spellEnd"/>
      <w:r w:rsidRPr="00EC6BC8">
        <w:rPr>
          <w:rFonts w:ascii="Times New Roman" w:hAnsi="Times New Roman"/>
          <w:bCs/>
          <w:sz w:val="28"/>
          <w:szCs w:val="28"/>
          <w:lang w:eastAsia="ru-RU"/>
        </w:rPr>
        <w:t xml:space="preserve"> уже через 48 часов после начала приема НПВП.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>Маловодие часто, но не всегда, является обратимым после прекращения применения НПВП.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>При длительном периоде маловодия могут развиваться осложнения, включая контрактуры конечностей и задержку созревания легких. В пострегистрационном периоде сообщалось о случаях нарушения функции почек у новорожденных, требующих проведения инвазивных процедур, таких как обменное переливание крови или диализ.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 xml:space="preserve">Если специалист считает необходимым назначить НПВП беременной женщине на сроке беременности от 20 до 30 недель, то следует применять </w:t>
      </w:r>
      <w:r w:rsidRPr="00EC6BC8">
        <w:rPr>
          <w:rFonts w:ascii="Times New Roman" w:hAnsi="Times New Roman"/>
          <w:bCs/>
          <w:sz w:val="28"/>
          <w:szCs w:val="28"/>
          <w:lang w:eastAsia="ru-RU"/>
        </w:rPr>
        <w:lastRenderedPageBreak/>
        <w:t>минимальные эффективные дозы в минимально возможный период времени.</w:t>
      </w:r>
    </w:p>
    <w:p w:rsidR="00CC20FC" w:rsidRPr="00EC6BC8" w:rsidRDefault="00CC20FC" w:rsidP="00CC2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bCs/>
          <w:sz w:val="28"/>
          <w:szCs w:val="28"/>
          <w:lang w:eastAsia="ru-RU"/>
        </w:rPr>
        <w:t>При применении НПВП более 48 часов, необходимо проводить ультразвуковое исследование амниотической жидкости. При развитии маловодия, следует прекратить прием НПВП и продолжить наблюдение в соответствии с установленными клиническими протоколами</w:t>
      </w:r>
      <w:r w:rsidRPr="00EC6BC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Применение ингибиторов простагландина в III триместре беременности способствует развитию у плода и у матери: </w:t>
      </w:r>
    </w:p>
    <w:p w:rsidR="007C798F" w:rsidRPr="00EC6BC8" w:rsidRDefault="007C798F" w:rsidP="007C798F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BC8">
        <w:rPr>
          <w:rFonts w:ascii="Times New Roman" w:hAnsi="Times New Roman"/>
          <w:sz w:val="28"/>
          <w:szCs w:val="28"/>
        </w:rPr>
        <w:t>кардиопульмонарной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недостаточности с преждевременным закрытием артериального протока и развитием легочной гипертензии;</w:t>
      </w:r>
    </w:p>
    <w:p w:rsidR="007C798F" w:rsidRPr="00EC6BC8" w:rsidRDefault="007C798F" w:rsidP="007C798F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почечной недостаточности, которая может привести к полному прекращению функционирования почек с развитием маловодия (обезвоживания).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В конце беременности у матери и у ребенка: </w:t>
      </w:r>
    </w:p>
    <w:p w:rsidR="007C798F" w:rsidRPr="00EC6BC8" w:rsidRDefault="007C798F" w:rsidP="007C798F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увеличению времени кровотечения, </w:t>
      </w:r>
      <w:proofErr w:type="spellStart"/>
      <w:r w:rsidRPr="00EC6BC8">
        <w:rPr>
          <w:rFonts w:ascii="Times New Roman" w:hAnsi="Times New Roman"/>
          <w:sz w:val="28"/>
          <w:szCs w:val="28"/>
        </w:rPr>
        <w:t>антиагрегационному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эффекту даже при очень низких дозах;</w:t>
      </w:r>
    </w:p>
    <w:p w:rsidR="007C798F" w:rsidRPr="00EC6BC8" w:rsidRDefault="007C798F" w:rsidP="007C798F">
      <w:pPr>
        <w:pStyle w:val="ab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подавлению сократительной деятельности матки и запоздалым или затяжным родам.</w:t>
      </w:r>
    </w:p>
    <w:p w:rsidR="00B45DCD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В связи с этим, ибупрофен противопоказан в третьем триместре беременности.</w:t>
      </w:r>
    </w:p>
    <w:p w:rsidR="007C798F" w:rsidRPr="00EC6BC8" w:rsidRDefault="007C798F" w:rsidP="007C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В ограниченных исследованиях было обнаружено, что ибупрофен в незначительном количестве проникает в материнское молоко и не оказывает неблагоприятное действие на младенца.</w:t>
      </w:r>
    </w:p>
    <w:p w:rsidR="00FA4F7C" w:rsidRPr="00EC6BC8" w:rsidRDefault="00FA4F7C" w:rsidP="00BA4A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7D0E84" w:rsidRPr="00EC6BC8" w:rsidRDefault="007C798F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Нет данных о случаях влияния ибупрофена на способность управлять автотранспортом или работать со сложными механизмами при применении в рекомендуемых дозах и в течение рекомендуемого периода лечения.</w:t>
      </w:r>
    </w:p>
    <w:p w:rsidR="000F61A2" w:rsidRPr="00EC6BC8" w:rsidRDefault="000F61A2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EC6BC8" w:rsidRDefault="00DB406A" w:rsidP="00BA0D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E366CF" w:rsidRPr="00EC6BC8" w:rsidRDefault="00E366CF" w:rsidP="00D17B4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C6BC8">
        <w:rPr>
          <w:rFonts w:ascii="Times New Roman" w:hAnsi="Times New Roman"/>
          <w:b/>
          <w:i/>
          <w:color w:val="000000"/>
          <w:sz w:val="28"/>
          <w:szCs w:val="28"/>
        </w:rPr>
        <w:t xml:space="preserve">Режим дозирования 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Только для кратковременного применения. Внимательно прочтите инструкцию перед приемом препарата.</w:t>
      </w:r>
    </w:p>
    <w:p w:rsidR="005A046A" w:rsidRPr="00EC6BC8" w:rsidRDefault="005A046A" w:rsidP="005A046A">
      <w:pPr>
        <w:pStyle w:val="a9"/>
        <w:contextualSpacing/>
        <w:jc w:val="both"/>
        <w:rPr>
          <w:bCs/>
          <w:sz w:val="28"/>
          <w:szCs w:val="28"/>
        </w:rPr>
      </w:pPr>
      <w:r w:rsidRPr="00EC6BC8">
        <w:rPr>
          <w:bCs/>
          <w:sz w:val="28"/>
          <w:szCs w:val="28"/>
        </w:rPr>
        <w:t xml:space="preserve">С целью минимизации рисков развития нежелательных реакций, ибупрофен следует принимать в минимальной эффективной дозе и на протяжении максимально короткого периода, необходимого для достижения клинического эффекта. </w:t>
      </w:r>
    </w:p>
    <w:p w:rsidR="005A046A" w:rsidRPr="00EC6BC8" w:rsidRDefault="005A046A" w:rsidP="005A046A">
      <w:pPr>
        <w:pStyle w:val="a9"/>
        <w:spacing w:after="0"/>
        <w:contextualSpacing/>
        <w:jc w:val="both"/>
        <w:rPr>
          <w:bCs/>
          <w:sz w:val="28"/>
          <w:szCs w:val="28"/>
        </w:rPr>
      </w:pPr>
      <w:r w:rsidRPr="00EC6BC8">
        <w:rPr>
          <w:bCs/>
          <w:sz w:val="28"/>
          <w:szCs w:val="28"/>
        </w:rPr>
        <w:t xml:space="preserve">Если симптомы сохраняются или </w:t>
      </w:r>
      <w:r w:rsidR="007D094F" w:rsidRPr="00EC6BC8">
        <w:rPr>
          <w:bCs/>
          <w:sz w:val="28"/>
          <w:szCs w:val="28"/>
        </w:rPr>
        <w:t>ухудшаются,</w:t>
      </w:r>
      <w:r w:rsidRPr="00EC6BC8">
        <w:rPr>
          <w:bCs/>
          <w:sz w:val="28"/>
          <w:szCs w:val="28"/>
        </w:rPr>
        <w:t xml:space="preserve"> или при необходимости длительного приема препарата (более 10 дней), необходимо обратиться к врачу.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Взрослые и дети старше 12 лет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bCs/>
          <w:sz w:val="28"/>
          <w:szCs w:val="28"/>
        </w:rPr>
        <w:t xml:space="preserve">Начальная доза составляет 400 мг, а затем, при необходимости, от 200 до 400 мг каждые 4 часа. Максимальная суточная доза 1200 мг </w:t>
      </w:r>
      <w:r w:rsidRPr="00EC6BC8">
        <w:rPr>
          <w:rFonts w:ascii="Times New Roman" w:hAnsi="Times New Roman"/>
          <w:sz w:val="28"/>
          <w:szCs w:val="28"/>
        </w:rPr>
        <w:t xml:space="preserve">(6 таблеток 200 мг или 3 таблетки 400 мг).  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lastRenderedPageBreak/>
        <w:t xml:space="preserve">Если при приеме препарата в течение 2-3 дней симптомы сохраняются или усиливаются, необходимо прекратить лечение и обратиться к врачу. 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Не рекомендуется детям до 12 лет.</w:t>
      </w:r>
    </w:p>
    <w:p w:rsidR="005A046A" w:rsidRPr="00EC6BC8" w:rsidRDefault="005A046A" w:rsidP="005A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НПВП следует использовать с осторожностью у пожилых пациентов с повышенным риском развития нежелательных реакций.</w:t>
      </w:r>
    </w:p>
    <w:p w:rsidR="00E366CF" w:rsidRPr="00EC6BC8" w:rsidRDefault="00E366CF" w:rsidP="00E366C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EC6BC8">
        <w:rPr>
          <w:rFonts w:ascii="Times New Roman" w:hAnsi="Times New Roman"/>
          <w:i/>
          <w:color w:val="000000"/>
          <w:sz w:val="24"/>
        </w:rPr>
        <w:t xml:space="preserve"> </w:t>
      </w:r>
    </w:p>
    <w:p w:rsidR="00E366CF" w:rsidRPr="00EC6BC8" w:rsidRDefault="00E366CF" w:rsidP="00E36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color w:val="000000"/>
          <w:sz w:val="28"/>
          <w:szCs w:val="28"/>
        </w:rPr>
        <w:t>Для приема внутрь. Таблетки следует запивать водой.</w:t>
      </w:r>
    </w:p>
    <w:p w:rsidR="00F84E93" w:rsidRPr="00EC6BC8" w:rsidRDefault="00F84E93" w:rsidP="00B45D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EC6BC8">
        <w:rPr>
          <w:rFonts w:ascii="Times New Roman" w:hAnsi="Times New Roman"/>
          <w:i/>
          <w:sz w:val="28"/>
          <w:szCs w:val="28"/>
        </w:rPr>
        <w:t xml:space="preserve"> </w:t>
      </w:r>
    </w:p>
    <w:p w:rsidR="00624FBA" w:rsidRPr="00EC6BC8" w:rsidRDefault="00624FBA" w:rsidP="00E366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Симптомы</w:t>
      </w:r>
      <w:r w:rsidRPr="00EC6BC8">
        <w:rPr>
          <w:rFonts w:ascii="Times New Roman" w:hAnsi="Times New Roman"/>
          <w:sz w:val="28"/>
          <w:szCs w:val="28"/>
        </w:rPr>
        <w:t xml:space="preserve"> </w:t>
      </w:r>
    </w:p>
    <w:p w:rsidR="00624FBA" w:rsidRPr="00EC6BC8" w:rsidRDefault="00624FBA" w:rsidP="00E36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У большинства пациентов, принявших клинически значимые дозы НПВП, возможны: тошнота, рвота, боль в </w:t>
      </w:r>
      <w:proofErr w:type="spellStart"/>
      <w:r w:rsidRPr="00EC6BC8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области или, в редких случаях – диарея. Возможно также шум в ушах, головная боль и желудочно-кишечное кровотечение. При более серьезных отравлениях возможны головокружение, головные боли, сонливость, иногда возбуждение и дезориентация, потеря сознания или кома. </w:t>
      </w:r>
    </w:p>
    <w:p w:rsidR="00624FBA" w:rsidRPr="00EC6BC8" w:rsidRDefault="00624FBA" w:rsidP="00624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Иногда у пациентов могут появиться приступы судорог. При тяжелых отравлениях иногда наблюдаются метаболический ацидоз, </w:t>
      </w:r>
      <w:proofErr w:type="spellStart"/>
      <w:r w:rsidRPr="00EC6BC8">
        <w:rPr>
          <w:rFonts w:ascii="Times New Roman" w:hAnsi="Times New Roman"/>
          <w:sz w:val="28"/>
          <w:szCs w:val="28"/>
        </w:rPr>
        <w:t>гиперкалиемия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, возможно повышение </w:t>
      </w:r>
      <w:proofErr w:type="spellStart"/>
      <w:r w:rsidRPr="00EC6BC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времени / МНО.  Могут возникнуть острая почечная недостаточность, повреждение печени, артериальная гипотензия, угнетение дыхания и цианоз. У пациентов с бронхиальной астмой возможно обострение симптомов заболевания.</w:t>
      </w:r>
    </w:p>
    <w:p w:rsidR="00364B9C" w:rsidRPr="00EC6BC8" w:rsidRDefault="00624FBA" w:rsidP="00624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i/>
          <w:sz w:val="28"/>
          <w:szCs w:val="28"/>
        </w:rPr>
        <w:t>Лечение</w:t>
      </w:r>
      <w:r w:rsidRPr="00EC6BC8">
        <w:rPr>
          <w:rFonts w:ascii="Times New Roman" w:hAnsi="Times New Roman"/>
          <w:sz w:val="28"/>
          <w:szCs w:val="28"/>
        </w:rPr>
        <w:t xml:space="preserve">: симптоматическое и поддерживающее, с обязательным обеспечением свободной проходимости дыхательных путей, мониторингом сердечной деятельности и основных показателей жизнедеятельности до нормализации состояния пациента. Рекомендуется пероральное применение активированного угля в течение 1 часа после приема потенциально токсической дозы препарата. Если ибупрофен уже абсорбирован, следует вводить щелочные растворы, способствующие выведению ибупрофена с мочой. Частые или продолжительные судороги следует купировать внутривенным введением </w:t>
      </w:r>
      <w:proofErr w:type="spellStart"/>
      <w:r w:rsidRPr="00EC6BC8">
        <w:rPr>
          <w:rFonts w:ascii="Times New Roman" w:hAnsi="Times New Roman"/>
          <w:sz w:val="28"/>
          <w:szCs w:val="28"/>
        </w:rPr>
        <w:t>диазепама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C6BC8">
        <w:rPr>
          <w:rFonts w:ascii="Times New Roman" w:hAnsi="Times New Roman"/>
          <w:sz w:val="28"/>
          <w:szCs w:val="28"/>
        </w:rPr>
        <w:t>лоразепама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. При бронхиальной астме рекомендуется применение </w:t>
      </w:r>
      <w:proofErr w:type="spellStart"/>
      <w:r w:rsidRPr="00EC6BC8">
        <w:rPr>
          <w:rFonts w:ascii="Times New Roman" w:hAnsi="Times New Roman"/>
          <w:sz w:val="28"/>
          <w:szCs w:val="28"/>
        </w:rPr>
        <w:t>бронходилататоров</w:t>
      </w:r>
      <w:proofErr w:type="spellEnd"/>
      <w:r w:rsidRPr="00EC6BC8">
        <w:rPr>
          <w:rFonts w:ascii="Times New Roman" w:hAnsi="Times New Roman"/>
          <w:sz w:val="28"/>
          <w:szCs w:val="28"/>
        </w:rPr>
        <w:t>.</w:t>
      </w:r>
    </w:p>
    <w:p w:rsidR="00F84E93" w:rsidRPr="00EC6BC8" w:rsidRDefault="00F84E93" w:rsidP="004C6C3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F84E93" w:rsidRPr="00EC6BC8" w:rsidRDefault="00F84E93" w:rsidP="00BA4A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6BC8">
        <w:rPr>
          <w:rFonts w:ascii="Times New Roman" w:hAnsi="Times New Roman"/>
          <w:color w:val="000000"/>
          <w:sz w:val="28"/>
          <w:szCs w:val="28"/>
        </w:rPr>
        <w:t>В случае, если не понятен способ применения лекарственного препарата, рекомендуем обратиться за консультацией к медицинскому работнику.</w:t>
      </w:r>
    </w:p>
    <w:p w:rsidR="00A12563" w:rsidRPr="00EC6BC8" w:rsidRDefault="00A12563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EC6BC8" w:rsidRDefault="001937AD" w:rsidP="00BA4A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" w:name="2175220282"/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C6BC8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</w:t>
      </w:r>
      <w:r w:rsidR="004C6662" w:rsidRPr="00EC6BC8">
        <w:rPr>
          <w:rFonts w:ascii="Times New Roman" w:hAnsi="Times New Roman"/>
          <w:b/>
          <w:color w:val="000000"/>
          <w:sz w:val="28"/>
          <w:szCs w:val="28"/>
        </w:rPr>
        <w:t xml:space="preserve"> этом случае</w:t>
      </w:r>
    </w:p>
    <w:bookmarkEnd w:id="3"/>
    <w:p w:rsidR="008B06B8" w:rsidRPr="00EC6BC8" w:rsidRDefault="008B06B8" w:rsidP="008B06B8">
      <w:pPr>
        <w:pStyle w:val="a7"/>
        <w:spacing w:after="0"/>
        <w:ind w:left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Нежелательные реакци</w:t>
      </w:r>
      <w:r w:rsidR="0094595D" w:rsidRPr="00EC6BC8">
        <w:rPr>
          <w:sz w:val="28"/>
          <w:szCs w:val="28"/>
        </w:rPr>
        <w:t>и</w:t>
      </w:r>
      <w:r w:rsidRPr="00EC6BC8">
        <w:rPr>
          <w:sz w:val="28"/>
          <w:szCs w:val="28"/>
        </w:rPr>
        <w:t xml:space="preserve"> преимущественно являются </w:t>
      </w:r>
      <w:proofErr w:type="spellStart"/>
      <w:r w:rsidRPr="00EC6BC8">
        <w:rPr>
          <w:sz w:val="28"/>
          <w:szCs w:val="28"/>
        </w:rPr>
        <w:t>дозозависимыми</w:t>
      </w:r>
      <w:proofErr w:type="spellEnd"/>
      <w:r w:rsidRPr="00EC6BC8">
        <w:rPr>
          <w:sz w:val="28"/>
          <w:szCs w:val="28"/>
        </w:rPr>
        <w:t xml:space="preserve">. </w:t>
      </w:r>
    </w:p>
    <w:p w:rsidR="008B06B8" w:rsidRPr="00EC6BC8" w:rsidRDefault="008B06B8" w:rsidP="008B06B8">
      <w:pPr>
        <w:pStyle w:val="a7"/>
        <w:spacing w:after="0"/>
        <w:ind w:left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 xml:space="preserve">Нижеперечисленные побочные реакции отмечались при кратковременном приеме ибупрофена в дозах, не превышающих 1200 мг/сутки. </w:t>
      </w:r>
    </w:p>
    <w:p w:rsidR="008B06B8" w:rsidRPr="00EC6BC8" w:rsidRDefault="008B06B8" w:rsidP="008B06B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6BC8">
        <w:rPr>
          <w:rFonts w:ascii="Times New Roman" w:hAnsi="Times New Roman"/>
          <w:bCs/>
          <w:sz w:val="28"/>
          <w:szCs w:val="28"/>
        </w:rPr>
        <w:lastRenderedPageBreak/>
        <w:t>Возможно наличие взаимосвязи между приемом ибупрофена в дозах ≥ 2400 мг в сутки и небольшим повышенным риском развития артериальных тромботических явлений (например, инфаркта миокарда и инсульта).</w:t>
      </w:r>
    </w:p>
    <w:p w:rsidR="008B06B8" w:rsidRPr="00EC6BC8" w:rsidRDefault="008B06B8" w:rsidP="008B0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6BC8">
        <w:rPr>
          <w:rStyle w:val="tlid-translation"/>
          <w:rFonts w:ascii="Times New Roman" w:hAnsi="Times New Roman"/>
          <w:sz w:val="28"/>
          <w:szCs w:val="28"/>
        </w:rPr>
        <w:t>Н</w:t>
      </w:r>
      <w:r w:rsidR="00F52583" w:rsidRPr="00EC6BC8">
        <w:rPr>
          <w:rStyle w:val="tlid-translation"/>
          <w:rFonts w:ascii="Times New Roman" w:hAnsi="Times New Roman"/>
          <w:sz w:val="28"/>
          <w:szCs w:val="28"/>
        </w:rPr>
        <w:t>аблюдаемые нежелательные реакции</w:t>
      </w:r>
      <w:r w:rsidRPr="00EC6BC8">
        <w:rPr>
          <w:rStyle w:val="tlid-translation"/>
          <w:rFonts w:ascii="Times New Roman" w:hAnsi="Times New Roman"/>
          <w:sz w:val="28"/>
          <w:szCs w:val="28"/>
        </w:rPr>
        <w:t xml:space="preserve"> чаще всего имеют желудочно-кишечный характер. Нежелательные реакци</w:t>
      </w:r>
      <w:r w:rsidR="0008133E" w:rsidRPr="00EC6BC8">
        <w:rPr>
          <w:rStyle w:val="tlid-translation"/>
          <w:rFonts w:ascii="Times New Roman" w:hAnsi="Times New Roman"/>
          <w:sz w:val="28"/>
          <w:szCs w:val="28"/>
        </w:rPr>
        <w:t>и</w:t>
      </w:r>
      <w:r w:rsidRPr="00EC6BC8">
        <w:rPr>
          <w:rStyle w:val="tlid-translation"/>
          <w:rFonts w:ascii="Times New Roman" w:hAnsi="Times New Roman"/>
          <w:sz w:val="28"/>
          <w:szCs w:val="28"/>
        </w:rPr>
        <w:t xml:space="preserve"> в основном зависят от дозы, в частности, риск возникновения желудочно-кишечных кровотечений зависит от дозы и продолжительности лечения.</w:t>
      </w:r>
    </w:p>
    <w:p w:rsidR="008B06B8" w:rsidRPr="00EC6BC8" w:rsidRDefault="008B06B8" w:rsidP="008B06B8">
      <w:pPr>
        <w:pStyle w:val="a7"/>
        <w:spacing w:after="0"/>
        <w:ind w:left="0"/>
        <w:contextualSpacing/>
        <w:jc w:val="both"/>
        <w:rPr>
          <w:sz w:val="28"/>
          <w:szCs w:val="28"/>
        </w:rPr>
      </w:pPr>
      <w:r w:rsidRPr="00EC6BC8">
        <w:rPr>
          <w:sz w:val="28"/>
          <w:szCs w:val="28"/>
        </w:rPr>
        <w:t>При лечении хронических состояний и при длительном применении возможно появление других нежелательных реакций.</w:t>
      </w:r>
    </w:p>
    <w:p w:rsidR="004C6662" w:rsidRPr="00EC6BC8" w:rsidRDefault="008B06B8" w:rsidP="003D6A38">
      <w:pPr>
        <w:pStyle w:val="NormalWeb1"/>
        <w:spacing w:before="0" w:after="0"/>
        <w:contextualSpacing/>
        <w:jc w:val="both"/>
        <w:rPr>
          <w:i/>
          <w:sz w:val="28"/>
          <w:szCs w:val="28"/>
        </w:rPr>
      </w:pPr>
      <w:r w:rsidRPr="00EC6BC8">
        <w:rPr>
          <w:sz w:val="28"/>
          <w:szCs w:val="28"/>
        </w:rPr>
        <w:t xml:space="preserve">Определение частоты нежелательных реакций проводится в соответствии со следующими критериями: </w:t>
      </w:r>
      <w:r w:rsidRPr="00EC6BC8">
        <w:rPr>
          <w:bCs/>
          <w:i/>
          <w:sz w:val="28"/>
          <w:szCs w:val="28"/>
          <w:lang w:eastAsia="ru-RU"/>
        </w:rPr>
        <w:t>очень часто (≥1/10), часто (≥1/100 до &lt;1/10), нечасто (≥1/1000 до &lt;1/100), редко (≥1/10000 до &lt;1/1000), очень редко (&lt;1/10000),</w:t>
      </w:r>
      <w:r w:rsidRPr="00EC6BC8">
        <w:rPr>
          <w:i/>
          <w:sz w:val="28"/>
          <w:szCs w:val="28"/>
        </w:rPr>
        <w:t xml:space="preserve"> неизвестно (невозможно оценить</w:t>
      </w:r>
      <w:r w:rsidR="00675805" w:rsidRPr="00EC6BC8">
        <w:rPr>
          <w:i/>
          <w:sz w:val="28"/>
          <w:szCs w:val="28"/>
        </w:rPr>
        <w:t xml:space="preserve"> на основании имеющихся данных)</w:t>
      </w:r>
    </w:p>
    <w:p w:rsidR="004C6662" w:rsidRPr="00EC6BC8" w:rsidRDefault="004C6662" w:rsidP="003D6A38">
      <w:pPr>
        <w:pStyle w:val="NormalWeb1"/>
        <w:spacing w:before="0" w:after="0"/>
        <w:contextualSpacing/>
        <w:jc w:val="both"/>
        <w:rPr>
          <w:i/>
          <w:color w:val="auto"/>
          <w:sz w:val="28"/>
          <w:szCs w:val="28"/>
        </w:rPr>
      </w:pPr>
      <w:r w:rsidRPr="00EC6BC8">
        <w:rPr>
          <w:i/>
          <w:color w:val="auto"/>
          <w:sz w:val="28"/>
          <w:szCs w:val="28"/>
        </w:rPr>
        <w:t>Нечасто</w:t>
      </w:r>
    </w:p>
    <w:p w:rsidR="004C6662" w:rsidRPr="00EC6BC8" w:rsidRDefault="004C6662" w:rsidP="003D6A38">
      <w:pPr>
        <w:pStyle w:val="NormalWeb1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color w:val="auto"/>
          <w:sz w:val="28"/>
          <w:szCs w:val="28"/>
        </w:rPr>
        <w:t>головная боль</w:t>
      </w:r>
    </w:p>
    <w:p w:rsidR="00B41502" w:rsidRPr="00EC6BC8" w:rsidRDefault="00B41502" w:rsidP="003D6A38">
      <w:pPr>
        <w:pStyle w:val="NormalWeb1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боль в животе, тошнота, диспепсия</w:t>
      </w:r>
    </w:p>
    <w:p w:rsidR="00B41502" w:rsidRPr="00EC6BC8" w:rsidRDefault="00B41502" w:rsidP="003D6A38">
      <w:pPr>
        <w:pStyle w:val="NormalWeb1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различные виды кожной сыпи</w:t>
      </w:r>
    </w:p>
    <w:p w:rsidR="004C6662" w:rsidRPr="00EC6BC8" w:rsidRDefault="004C6662" w:rsidP="003D6A38">
      <w:pPr>
        <w:pStyle w:val="NormalWeb1"/>
        <w:spacing w:before="0" w:after="0"/>
        <w:contextualSpacing/>
        <w:jc w:val="both"/>
        <w:rPr>
          <w:i/>
          <w:color w:val="auto"/>
          <w:sz w:val="28"/>
          <w:szCs w:val="28"/>
        </w:rPr>
      </w:pPr>
      <w:r w:rsidRPr="00EC6BC8">
        <w:rPr>
          <w:i/>
          <w:color w:val="auto"/>
          <w:sz w:val="28"/>
          <w:szCs w:val="28"/>
        </w:rPr>
        <w:t>Редко</w:t>
      </w:r>
    </w:p>
    <w:p w:rsidR="004C6662" w:rsidRPr="00EC6BC8" w:rsidRDefault="004C6662" w:rsidP="003D6A38">
      <w:pPr>
        <w:pStyle w:val="NormalWeb1"/>
        <w:numPr>
          <w:ilvl w:val="0"/>
          <w:numId w:val="39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color w:val="auto"/>
          <w:sz w:val="28"/>
          <w:szCs w:val="28"/>
        </w:rPr>
        <w:t>диарея, повышенное газообразование, запор и рвота</w:t>
      </w:r>
    </w:p>
    <w:p w:rsidR="004C6662" w:rsidRPr="00EC6BC8" w:rsidRDefault="004C6662" w:rsidP="003D6A38">
      <w:pPr>
        <w:pStyle w:val="NormalWeb1"/>
        <w:spacing w:before="0" w:after="0"/>
        <w:contextualSpacing/>
        <w:jc w:val="both"/>
        <w:rPr>
          <w:i/>
          <w:color w:val="auto"/>
          <w:sz w:val="28"/>
          <w:szCs w:val="28"/>
        </w:rPr>
      </w:pPr>
      <w:r w:rsidRPr="00EC6BC8">
        <w:rPr>
          <w:i/>
          <w:color w:val="auto"/>
          <w:sz w:val="28"/>
          <w:szCs w:val="28"/>
        </w:rPr>
        <w:t>Очень редко</w:t>
      </w:r>
    </w:p>
    <w:p w:rsidR="004C6662" w:rsidRPr="00EC6BC8" w:rsidRDefault="00B41502" w:rsidP="003D6A38">
      <w:pPr>
        <w:pStyle w:val="NormalWeb1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реакции гиперчувствительности: тяжелые реакции гиперчувствительности</w:t>
      </w:r>
      <w:r w:rsidRPr="00EC6BC8">
        <w:rPr>
          <w:sz w:val="28"/>
          <w:szCs w:val="28"/>
          <w:vertAlign w:val="superscript"/>
          <w:lang w:eastAsia="de-DE"/>
        </w:rPr>
        <w:t>1</w:t>
      </w:r>
      <w:r w:rsidRPr="00EC6BC8">
        <w:rPr>
          <w:sz w:val="28"/>
          <w:szCs w:val="28"/>
          <w:lang w:eastAsia="de-DE"/>
        </w:rPr>
        <w:t xml:space="preserve"> (отек лица, языка и гортани, одышка, тахикардия, гипотензия, анафилаксия, отек </w:t>
      </w:r>
      <w:proofErr w:type="spellStart"/>
      <w:r w:rsidRPr="00EC6BC8">
        <w:rPr>
          <w:sz w:val="28"/>
          <w:szCs w:val="28"/>
          <w:lang w:eastAsia="de-DE"/>
        </w:rPr>
        <w:t>Квинке</w:t>
      </w:r>
      <w:proofErr w:type="spellEnd"/>
      <w:r w:rsidRPr="00EC6BC8">
        <w:rPr>
          <w:sz w:val="28"/>
          <w:szCs w:val="28"/>
          <w:lang w:eastAsia="de-DE"/>
        </w:rPr>
        <w:t xml:space="preserve"> или тяжелый анафилактический шок)</w:t>
      </w:r>
      <w:r w:rsidR="004C6662" w:rsidRPr="00EC6BC8">
        <w:rPr>
          <w:color w:val="auto"/>
          <w:sz w:val="28"/>
          <w:szCs w:val="28"/>
        </w:rPr>
        <w:t xml:space="preserve"> </w:t>
      </w:r>
    </w:p>
    <w:p w:rsidR="004C6662" w:rsidRPr="00EC6BC8" w:rsidRDefault="00B41502" w:rsidP="003D6A38">
      <w:pPr>
        <w:pStyle w:val="NormalWeb1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асептический менингит</w:t>
      </w:r>
      <w:r w:rsidRPr="00EC6BC8">
        <w:rPr>
          <w:sz w:val="28"/>
          <w:szCs w:val="28"/>
          <w:vertAlign w:val="superscript"/>
          <w:lang w:eastAsia="de-DE"/>
        </w:rPr>
        <w:t>2</w:t>
      </w:r>
      <w:r w:rsidRPr="00EC6BC8">
        <w:rPr>
          <w:sz w:val="28"/>
          <w:szCs w:val="28"/>
          <w:lang w:eastAsia="de-DE"/>
        </w:rPr>
        <w:t xml:space="preserve"> (единичные случаи), особенно у пациентов с аутоиммунными нарушениями (системная красная волчанка, смешанное заболевание соединительной ткани)</w:t>
      </w:r>
    </w:p>
    <w:p w:rsidR="004C6662" w:rsidRPr="00EC6BC8" w:rsidRDefault="00B41502" w:rsidP="003D6A38">
      <w:pPr>
        <w:pStyle w:val="NormalWeb1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пептическая язва, перфорация или желудочно-кишечное кровотечение, мелена, кровавая рвота, в некоторых случаях со смертельным исходом, чаще у пациентов пожилого возраста; язвенный стоматит, гастрит</w:t>
      </w:r>
    </w:p>
    <w:p w:rsidR="004C6662" w:rsidRPr="00EC6BC8" w:rsidRDefault="00B41502" w:rsidP="003D6A38">
      <w:pPr>
        <w:pStyle w:val="NormalWeb1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 xml:space="preserve">тяжелые формы кожных реакций, такие как буллезные реакции, включая синдром </w:t>
      </w:r>
      <w:proofErr w:type="spellStart"/>
      <w:r w:rsidRPr="00EC6BC8">
        <w:rPr>
          <w:sz w:val="28"/>
          <w:szCs w:val="28"/>
          <w:lang w:eastAsia="de-DE"/>
        </w:rPr>
        <w:t>Стивенса</w:t>
      </w:r>
      <w:proofErr w:type="spellEnd"/>
      <w:r w:rsidRPr="00EC6BC8">
        <w:rPr>
          <w:sz w:val="28"/>
          <w:szCs w:val="28"/>
          <w:lang w:eastAsia="de-DE"/>
        </w:rPr>
        <w:t xml:space="preserve">-Джонсона, </w:t>
      </w:r>
      <w:proofErr w:type="spellStart"/>
      <w:r w:rsidRPr="00EC6BC8">
        <w:rPr>
          <w:sz w:val="28"/>
          <w:szCs w:val="28"/>
          <w:lang w:eastAsia="de-DE"/>
        </w:rPr>
        <w:t>мультиформную</w:t>
      </w:r>
      <w:proofErr w:type="spellEnd"/>
      <w:r w:rsidRPr="00EC6BC8">
        <w:rPr>
          <w:sz w:val="28"/>
          <w:szCs w:val="28"/>
          <w:lang w:eastAsia="de-DE"/>
        </w:rPr>
        <w:t xml:space="preserve"> эритему и токсический </w:t>
      </w:r>
      <w:proofErr w:type="spellStart"/>
      <w:r w:rsidRPr="00EC6BC8">
        <w:rPr>
          <w:sz w:val="28"/>
          <w:szCs w:val="28"/>
          <w:lang w:eastAsia="de-DE"/>
        </w:rPr>
        <w:t>эпидермальный</w:t>
      </w:r>
      <w:proofErr w:type="spellEnd"/>
      <w:r w:rsidRPr="00EC6BC8">
        <w:rPr>
          <w:sz w:val="28"/>
          <w:szCs w:val="28"/>
          <w:lang w:eastAsia="de-DE"/>
        </w:rPr>
        <w:t xml:space="preserve"> </w:t>
      </w:r>
      <w:proofErr w:type="spellStart"/>
      <w:r w:rsidRPr="00EC6BC8">
        <w:rPr>
          <w:sz w:val="28"/>
          <w:szCs w:val="28"/>
          <w:lang w:eastAsia="de-DE"/>
        </w:rPr>
        <w:t>некролиз</w:t>
      </w:r>
      <w:proofErr w:type="spellEnd"/>
      <w:r w:rsidR="004C6662" w:rsidRPr="00EC6BC8">
        <w:rPr>
          <w:color w:val="auto"/>
          <w:sz w:val="28"/>
          <w:szCs w:val="28"/>
        </w:rPr>
        <w:t xml:space="preserve"> </w:t>
      </w:r>
    </w:p>
    <w:p w:rsidR="004C6662" w:rsidRPr="00EC6BC8" w:rsidRDefault="00542D45" w:rsidP="003D6A38">
      <w:pPr>
        <w:pStyle w:val="14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>нарушения функции печени (особенно при длительном лечении)</w:t>
      </w:r>
    </w:p>
    <w:p w:rsidR="00542D45" w:rsidRPr="00EC6BC8" w:rsidRDefault="00542D45" w:rsidP="003D6A38">
      <w:pPr>
        <w:pStyle w:val="14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 xml:space="preserve">острая почечная недостаточность, </w:t>
      </w:r>
      <w:proofErr w:type="spellStart"/>
      <w:r w:rsidRPr="00EC6BC8">
        <w:rPr>
          <w:sz w:val="28"/>
          <w:szCs w:val="28"/>
          <w:lang w:eastAsia="de-DE"/>
        </w:rPr>
        <w:t>папиллонекроз</w:t>
      </w:r>
      <w:proofErr w:type="spellEnd"/>
      <w:r w:rsidRPr="00EC6BC8">
        <w:rPr>
          <w:sz w:val="28"/>
          <w:szCs w:val="28"/>
          <w:lang w:eastAsia="de-DE"/>
        </w:rPr>
        <w:t xml:space="preserve">, особенно при длительном применении, в сочетании с повышением концентрации мочевины в плазме крови, </w:t>
      </w:r>
      <w:proofErr w:type="spellStart"/>
      <w:r w:rsidRPr="00EC6BC8">
        <w:rPr>
          <w:sz w:val="28"/>
          <w:szCs w:val="28"/>
          <w:lang w:eastAsia="de-DE"/>
        </w:rPr>
        <w:t>олигурией</w:t>
      </w:r>
      <w:proofErr w:type="spellEnd"/>
      <w:r w:rsidRPr="00EC6BC8">
        <w:rPr>
          <w:sz w:val="28"/>
          <w:szCs w:val="28"/>
          <w:lang w:eastAsia="de-DE"/>
        </w:rPr>
        <w:t xml:space="preserve"> и появлением отеков</w:t>
      </w:r>
    </w:p>
    <w:p w:rsidR="00F500C6" w:rsidRPr="00EC6BC8" w:rsidRDefault="00F500C6" w:rsidP="003D6A38">
      <w:pPr>
        <w:pStyle w:val="14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 xml:space="preserve">нарушения кроветворения (анемия, лейкопения, тромбоцитопения, </w:t>
      </w:r>
      <w:proofErr w:type="spellStart"/>
      <w:r w:rsidRPr="00EC6BC8">
        <w:rPr>
          <w:sz w:val="28"/>
          <w:szCs w:val="28"/>
          <w:lang w:eastAsia="de-DE"/>
        </w:rPr>
        <w:t>панцитопения</w:t>
      </w:r>
      <w:proofErr w:type="spellEnd"/>
      <w:r w:rsidRPr="00EC6BC8">
        <w:rPr>
          <w:sz w:val="28"/>
          <w:szCs w:val="28"/>
          <w:lang w:eastAsia="de-DE"/>
        </w:rPr>
        <w:t xml:space="preserve">, </w:t>
      </w:r>
      <w:proofErr w:type="spellStart"/>
      <w:r w:rsidRPr="00EC6BC8">
        <w:rPr>
          <w:sz w:val="28"/>
          <w:szCs w:val="28"/>
          <w:lang w:eastAsia="de-DE"/>
        </w:rPr>
        <w:t>агранулоцитоз</w:t>
      </w:r>
      <w:proofErr w:type="spellEnd"/>
      <w:r w:rsidRPr="00EC6BC8">
        <w:rPr>
          <w:sz w:val="28"/>
          <w:szCs w:val="28"/>
          <w:lang w:eastAsia="de-DE"/>
        </w:rPr>
        <w:t xml:space="preserve">), первыми признаками которой является появление таких симптомов, как лихорадка, боль в горле, изъязвление слизистой оболочки полости рта, </w:t>
      </w:r>
      <w:r w:rsidRPr="00EC6BC8">
        <w:rPr>
          <w:color w:val="auto"/>
          <w:sz w:val="28"/>
          <w:szCs w:val="28"/>
        </w:rPr>
        <w:t>гриппоподобные симптомы</w:t>
      </w:r>
      <w:r w:rsidRPr="00EC6BC8">
        <w:rPr>
          <w:sz w:val="28"/>
          <w:szCs w:val="28"/>
          <w:lang w:eastAsia="de-DE"/>
        </w:rPr>
        <w:t>, выраженная слабость, кровотечения и кровоподтеки неизвестной этиологии</w:t>
      </w:r>
    </w:p>
    <w:p w:rsidR="00F500C6" w:rsidRPr="00EC6BC8" w:rsidRDefault="00F500C6" w:rsidP="003D6A38">
      <w:pPr>
        <w:pStyle w:val="14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lastRenderedPageBreak/>
        <w:t>снижение уровня гемоглобина</w:t>
      </w:r>
    </w:p>
    <w:p w:rsidR="00F500C6" w:rsidRPr="00EC6BC8" w:rsidRDefault="00F500C6" w:rsidP="003D6A38">
      <w:pPr>
        <w:pStyle w:val="14"/>
        <w:numPr>
          <w:ilvl w:val="0"/>
          <w:numId w:val="40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 xml:space="preserve">обострение инфекционного воспаления (например, развитие некротического </w:t>
      </w:r>
      <w:proofErr w:type="spellStart"/>
      <w:r w:rsidRPr="00EC6BC8">
        <w:rPr>
          <w:sz w:val="28"/>
          <w:szCs w:val="28"/>
          <w:lang w:eastAsia="de-DE"/>
        </w:rPr>
        <w:t>фасциита</w:t>
      </w:r>
      <w:proofErr w:type="spellEnd"/>
      <w:r w:rsidRPr="00EC6BC8">
        <w:rPr>
          <w:sz w:val="28"/>
          <w:szCs w:val="28"/>
          <w:lang w:eastAsia="de-DE"/>
        </w:rPr>
        <w:t>), в исключительных случаях во время инфекции ветряной оспы могут возникнуть тяжелые кожные инфекции и осложнения со стороны мягких тканей</w:t>
      </w:r>
    </w:p>
    <w:p w:rsidR="004C6662" w:rsidRPr="00EC6BC8" w:rsidRDefault="004C6662" w:rsidP="003D6A38">
      <w:pPr>
        <w:pStyle w:val="NormalWeb1"/>
        <w:spacing w:before="0" w:after="0"/>
        <w:contextualSpacing/>
        <w:jc w:val="both"/>
        <w:rPr>
          <w:i/>
          <w:color w:val="auto"/>
          <w:sz w:val="28"/>
          <w:szCs w:val="28"/>
        </w:rPr>
      </w:pPr>
      <w:r w:rsidRPr="00EC6BC8">
        <w:rPr>
          <w:i/>
          <w:color w:val="auto"/>
          <w:sz w:val="28"/>
          <w:szCs w:val="28"/>
        </w:rPr>
        <w:t>Неизвестно</w:t>
      </w:r>
    </w:p>
    <w:p w:rsidR="004C6662" w:rsidRPr="00EC6BC8" w:rsidRDefault="008F7B73" w:rsidP="003D6A38">
      <w:pPr>
        <w:pStyle w:val="14"/>
        <w:numPr>
          <w:ilvl w:val="0"/>
          <w:numId w:val="41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color w:val="auto"/>
          <w:sz w:val="28"/>
          <w:szCs w:val="28"/>
        </w:rPr>
      </w:pPr>
      <w:r w:rsidRPr="00EC6BC8">
        <w:rPr>
          <w:sz w:val="28"/>
          <w:szCs w:val="28"/>
          <w:lang w:eastAsia="de-DE"/>
        </w:rPr>
        <w:t xml:space="preserve">реактивность дыхательных путей, включающая астму, обострение астмы, </w:t>
      </w:r>
      <w:proofErr w:type="spellStart"/>
      <w:r w:rsidRPr="00EC6BC8">
        <w:rPr>
          <w:sz w:val="28"/>
          <w:szCs w:val="28"/>
          <w:lang w:eastAsia="de-DE"/>
        </w:rPr>
        <w:t>бронхоспазм</w:t>
      </w:r>
      <w:proofErr w:type="spellEnd"/>
      <w:r w:rsidRPr="00EC6BC8">
        <w:rPr>
          <w:sz w:val="28"/>
          <w:szCs w:val="28"/>
          <w:lang w:eastAsia="de-DE"/>
        </w:rPr>
        <w:t xml:space="preserve"> и одышку</w:t>
      </w:r>
    </w:p>
    <w:p w:rsidR="004C6662" w:rsidRPr="00EC6BC8" w:rsidRDefault="00C32805" w:rsidP="003D6A38">
      <w:pPr>
        <w:pStyle w:val="ab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BC8">
        <w:rPr>
          <w:rFonts w:ascii="Times New Roman" w:hAnsi="Times New Roman"/>
          <w:sz w:val="28"/>
          <w:szCs w:val="28"/>
          <w:lang w:eastAsia="de-DE"/>
        </w:rPr>
        <w:t>сердечная недостаточность и отеки</w:t>
      </w:r>
    </w:p>
    <w:p w:rsidR="003D6A38" w:rsidRPr="00EC6BC8" w:rsidRDefault="003D6A38" w:rsidP="003D6A38">
      <w:pPr>
        <w:pStyle w:val="ab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BC8">
        <w:rPr>
          <w:rFonts w:ascii="Times New Roman" w:hAnsi="Times New Roman"/>
          <w:sz w:val="28"/>
          <w:szCs w:val="28"/>
          <w:lang w:eastAsia="de-DE"/>
        </w:rPr>
        <w:t>артериальная гипертензия</w:t>
      </w:r>
      <w:r w:rsidRPr="00EC6BC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D6A38" w:rsidRPr="00EC6BC8" w:rsidRDefault="003D6A38" w:rsidP="003D6A38">
      <w:pPr>
        <w:pStyle w:val="ab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BC8">
        <w:rPr>
          <w:rFonts w:ascii="Times New Roman" w:hAnsi="Times New Roman"/>
          <w:sz w:val="28"/>
          <w:szCs w:val="28"/>
          <w:lang w:eastAsia="de-DE"/>
        </w:rPr>
        <w:t>обострение неспецифического язвенного колита и болезни Крона, непереносимость препарата</w:t>
      </w:r>
    </w:p>
    <w:p w:rsidR="003D6A38" w:rsidRPr="00EC6BC8" w:rsidRDefault="003D6A38" w:rsidP="003D6A38">
      <w:pPr>
        <w:pStyle w:val="ab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BC8">
        <w:rPr>
          <w:rFonts w:ascii="Times New Roman" w:hAnsi="Times New Roman"/>
          <w:sz w:val="28"/>
          <w:szCs w:val="28"/>
          <w:lang w:eastAsia="de-DE"/>
        </w:rPr>
        <w:t xml:space="preserve">эритема, </w:t>
      </w:r>
      <w:proofErr w:type="spellStart"/>
      <w:r w:rsidRPr="00EC6BC8">
        <w:rPr>
          <w:rFonts w:ascii="Times New Roman" w:hAnsi="Times New Roman"/>
          <w:sz w:val="28"/>
          <w:szCs w:val="28"/>
          <w:lang w:eastAsia="de-DE"/>
        </w:rPr>
        <w:t>макулопапулезная</w:t>
      </w:r>
      <w:proofErr w:type="spellEnd"/>
      <w:r w:rsidRPr="00EC6BC8">
        <w:rPr>
          <w:rFonts w:ascii="Times New Roman" w:hAnsi="Times New Roman"/>
          <w:sz w:val="28"/>
          <w:szCs w:val="28"/>
          <w:lang w:eastAsia="de-DE"/>
        </w:rPr>
        <w:t xml:space="preserve"> сыпь, </w:t>
      </w:r>
      <w:r w:rsidRPr="00EC6BC8">
        <w:rPr>
          <w:rFonts w:ascii="Times New Roman" w:hAnsi="Times New Roman"/>
          <w:sz w:val="28"/>
          <w:szCs w:val="28"/>
        </w:rPr>
        <w:t xml:space="preserve">лекарственно-обусловленная </w:t>
      </w:r>
      <w:proofErr w:type="spellStart"/>
      <w:r w:rsidRPr="00EC6BC8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с системными симптомами, известная как DRESS-синдром, проявляющийся в виде кожной сыпи, лихорадки, отека лимфатических узлов и увеличения количества эозинофилов; острый </w:t>
      </w:r>
      <w:proofErr w:type="spellStart"/>
      <w:r w:rsidRPr="00EC6BC8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BC8">
        <w:rPr>
          <w:rFonts w:ascii="Times New Roman" w:hAnsi="Times New Roman"/>
          <w:sz w:val="28"/>
          <w:szCs w:val="28"/>
        </w:rPr>
        <w:t>экзантематозный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BC8">
        <w:rPr>
          <w:rFonts w:ascii="Times New Roman" w:hAnsi="Times New Roman"/>
          <w:sz w:val="28"/>
          <w:szCs w:val="28"/>
        </w:rPr>
        <w:t>пустулез</w:t>
      </w:r>
      <w:proofErr w:type="spellEnd"/>
      <w:r w:rsidRPr="00EC6BC8">
        <w:rPr>
          <w:rFonts w:ascii="Times New Roman" w:hAnsi="Times New Roman"/>
          <w:sz w:val="28"/>
          <w:szCs w:val="28"/>
        </w:rPr>
        <w:t xml:space="preserve"> (AGEP)</w:t>
      </w:r>
      <w:r w:rsidR="00E366CF" w:rsidRPr="00EC6BC8">
        <w:rPr>
          <w:rFonts w:ascii="Times New Roman" w:hAnsi="Times New Roman"/>
          <w:sz w:val="28"/>
          <w:szCs w:val="28"/>
        </w:rPr>
        <w:t xml:space="preserve">, </w:t>
      </w:r>
      <w:r w:rsidR="00845700" w:rsidRPr="00EC6BC8">
        <w:rPr>
          <w:rFonts w:ascii="Times New Roman" w:hAnsi="Times New Roman"/>
          <w:sz w:val="28"/>
          <w:szCs w:val="28"/>
        </w:rPr>
        <w:t>реакция светочувствительности</w:t>
      </w:r>
    </w:p>
    <w:p w:rsidR="003D6A38" w:rsidRPr="00EC6BC8" w:rsidRDefault="003D6A38" w:rsidP="003D6A38">
      <w:pPr>
        <w:pStyle w:val="ab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6BC8">
        <w:rPr>
          <w:rFonts w:ascii="Times New Roman" w:hAnsi="Times New Roman"/>
          <w:sz w:val="28"/>
          <w:szCs w:val="28"/>
          <w:lang w:eastAsia="de-DE"/>
        </w:rPr>
        <w:t>почечная недостаточность</w:t>
      </w:r>
    </w:p>
    <w:p w:rsidR="00F500C6" w:rsidRPr="00EC6BC8" w:rsidRDefault="00F500C6" w:rsidP="003D6A3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EC6BC8">
        <w:rPr>
          <w:rFonts w:ascii="Times New Roman" w:hAnsi="Times New Roman"/>
          <w:i/>
          <w:sz w:val="24"/>
          <w:szCs w:val="24"/>
          <w:u w:val="single"/>
          <w:lang w:eastAsia="de-DE"/>
        </w:rPr>
        <w:t>Описание отдельных нежелательных реакций</w:t>
      </w:r>
      <w:r w:rsidRPr="00EC6BC8">
        <w:rPr>
          <w:rFonts w:ascii="Times New Roman" w:hAnsi="Times New Roman"/>
          <w:sz w:val="24"/>
          <w:szCs w:val="24"/>
          <w:lang w:eastAsia="de-DE"/>
        </w:rPr>
        <w:t>.</w:t>
      </w:r>
    </w:p>
    <w:p w:rsidR="00F500C6" w:rsidRPr="00EC6BC8" w:rsidRDefault="00F500C6" w:rsidP="00F500C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de-DE"/>
        </w:rPr>
      </w:pPr>
      <w:r w:rsidRPr="00EC6BC8">
        <w:rPr>
          <w:rFonts w:ascii="Times New Roman" w:hAnsi="Times New Roman"/>
          <w:sz w:val="24"/>
          <w:szCs w:val="24"/>
          <w:vertAlign w:val="superscript"/>
          <w:lang w:eastAsia="de-DE"/>
        </w:rPr>
        <w:t>1</w:t>
      </w:r>
      <w:r w:rsidRPr="00EC6BC8">
        <w:rPr>
          <w:rFonts w:ascii="Times New Roman" w:hAnsi="Times New Roman"/>
          <w:sz w:val="24"/>
          <w:szCs w:val="24"/>
          <w:lang w:eastAsia="de-DE"/>
        </w:rPr>
        <w:t xml:space="preserve">После лечения ибупрофеном отмечались реакции гиперчувствительности. В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т.ч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. (а) неспецифичные аллергические реакции и анафилаксия, (б) астма, осложненная астма,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бронхоспазм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, диспноэ или (в) повреждения кожных покровов, включая сыпь в виде крапивницы, пурпуры, сопровождающаяся зудом, ангионевротический отек и более редкие формы в виде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эксфолиативного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 и буллезного дерматитов (включая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эпидермальный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некролиз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 и </w:t>
      </w:r>
      <w:proofErr w:type="spellStart"/>
      <w:r w:rsidRPr="00EC6BC8">
        <w:rPr>
          <w:rFonts w:ascii="Times New Roman" w:hAnsi="Times New Roman"/>
          <w:sz w:val="24"/>
          <w:szCs w:val="24"/>
          <w:lang w:eastAsia="de-DE"/>
        </w:rPr>
        <w:t>мультиформную</w:t>
      </w:r>
      <w:proofErr w:type="spellEnd"/>
      <w:r w:rsidRPr="00EC6BC8">
        <w:rPr>
          <w:rFonts w:ascii="Times New Roman" w:hAnsi="Times New Roman"/>
          <w:sz w:val="24"/>
          <w:szCs w:val="24"/>
          <w:lang w:eastAsia="de-DE"/>
        </w:rPr>
        <w:t xml:space="preserve"> эритему). </w:t>
      </w:r>
    </w:p>
    <w:p w:rsidR="007555D1" w:rsidRPr="00EC6BC8" w:rsidRDefault="00F500C6" w:rsidP="00F500C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de-DE"/>
        </w:rPr>
      </w:pPr>
      <w:r w:rsidRPr="00EC6BC8">
        <w:rPr>
          <w:rFonts w:ascii="Times New Roman" w:hAnsi="Times New Roman"/>
          <w:sz w:val="24"/>
          <w:szCs w:val="24"/>
          <w:vertAlign w:val="superscript"/>
          <w:lang w:eastAsia="de-DE"/>
        </w:rPr>
        <w:t xml:space="preserve">2 </w:t>
      </w:r>
      <w:r w:rsidRPr="00EC6BC8">
        <w:rPr>
          <w:rFonts w:ascii="Times New Roman" w:hAnsi="Times New Roman"/>
          <w:sz w:val="24"/>
          <w:szCs w:val="24"/>
          <w:lang w:eastAsia="de-DE"/>
        </w:rPr>
        <w:t>Патогенетический механизм развития асептического менингита, индуцированного приемом препарата, не до конца ясен. Однако, доступные данные по асептическому менингиту, связанному с приемом НПВП, указывают на реакцию гиперчувствительности (в связи с наличием временной связи с приемом препарата и исчезновением симптомов после прекращения приема препарата). Следует отметить, что единичные случаи симптомов асептического менингита (такие как ригидность затылочных мышц, головная боль, тошнота, рвота, лихорадка и дезориентация) наблюдались во время лечения ибупрофеном у пациентов с аутоиммунными нарушениями (такими как системная красная волчанка, смешанная болезнь соединительной ткани).</w:t>
      </w:r>
    </w:p>
    <w:p w:rsidR="00F500C6" w:rsidRPr="00EC6BC8" w:rsidRDefault="00F500C6" w:rsidP="00675805">
      <w:pPr>
        <w:pStyle w:val="ac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0324" w:rsidRPr="00EC6BC8" w:rsidRDefault="005E2CE8" w:rsidP="00BA4ACC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BC8">
        <w:rPr>
          <w:rFonts w:ascii="Times New Roman" w:hAnsi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5E2CE8" w:rsidRPr="00EC6BC8" w:rsidRDefault="007D094F" w:rsidP="00E366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РГП на ПХВ «Национальный ц</w:t>
      </w:r>
      <w:r w:rsidR="005E2CE8" w:rsidRPr="00EC6BC8">
        <w:rPr>
          <w:rFonts w:ascii="Times New Roman" w:hAnsi="Times New Roman"/>
          <w:sz w:val="28"/>
          <w:szCs w:val="28"/>
        </w:rPr>
        <w:t xml:space="preserve">ентр экспертизы лекарственных средств и медицинских изделий» Комитет </w:t>
      </w:r>
      <w:r w:rsidR="00E366CF" w:rsidRPr="00EC6B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медицинского и фармацевтического </w:t>
      </w:r>
      <w:r w:rsidR="004B7CBB" w:rsidRPr="00EC6B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контроля Министерства</w:t>
      </w:r>
      <w:r w:rsidR="005E2CE8" w:rsidRPr="00EC6BC8">
        <w:rPr>
          <w:rFonts w:ascii="Times New Roman" w:hAnsi="Times New Roman"/>
          <w:sz w:val="28"/>
          <w:szCs w:val="28"/>
        </w:rPr>
        <w:t xml:space="preserve"> здравоохранения Республики Казахстан</w:t>
      </w:r>
    </w:p>
    <w:p w:rsidR="005E2CE8" w:rsidRPr="00EC6BC8" w:rsidRDefault="00AE3EDD" w:rsidP="00BA4AC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E2CE8" w:rsidRPr="00EC6BC8">
          <w:rPr>
            <w:rStyle w:val="af"/>
            <w:rFonts w:ascii="Times New Roman" w:hAnsi="Times New Roman"/>
            <w:sz w:val="28"/>
            <w:szCs w:val="28"/>
          </w:rPr>
          <w:t>http://www.ndda.kz</w:t>
        </w:r>
      </w:hyperlink>
    </w:p>
    <w:p w:rsidR="00D93C80" w:rsidRPr="00EC6BC8" w:rsidRDefault="00D93C80" w:rsidP="00BA4A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EC6BC8" w:rsidRDefault="000C2C4B" w:rsidP="00BA4AC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EC6BC8" w:rsidRDefault="00844CE8" w:rsidP="00BA4A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2175220285"/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Состав лекарственного препарата</w:t>
      </w:r>
      <w:r w:rsidR="00C379C9"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1702F" w:rsidRPr="00EC6BC8" w:rsidRDefault="0051702F" w:rsidP="00BA4AC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5" w:name="2175220286"/>
      <w:bookmarkEnd w:id="4"/>
      <w:r w:rsidRPr="00EC6BC8">
        <w:rPr>
          <w:rFonts w:ascii="Times New Roman" w:hAnsi="Times New Roman"/>
          <w:bCs/>
          <w:iCs/>
          <w:sz w:val="28"/>
          <w:szCs w:val="28"/>
        </w:rPr>
        <w:t>Одна таблетка</w:t>
      </w:r>
      <w:r w:rsidR="007F4283" w:rsidRPr="00EC6BC8">
        <w:rPr>
          <w:rFonts w:ascii="Times New Roman" w:hAnsi="Times New Roman"/>
          <w:bCs/>
          <w:iCs/>
          <w:sz w:val="28"/>
          <w:szCs w:val="28"/>
        </w:rPr>
        <w:t xml:space="preserve">, покрытая пленочной оболочкой, </w:t>
      </w:r>
      <w:r w:rsidRPr="00EC6BC8">
        <w:rPr>
          <w:rFonts w:ascii="Times New Roman" w:hAnsi="Times New Roman"/>
          <w:bCs/>
          <w:iCs/>
          <w:sz w:val="28"/>
          <w:szCs w:val="28"/>
        </w:rPr>
        <w:t>содержит</w:t>
      </w:r>
    </w:p>
    <w:p w:rsidR="00925B80" w:rsidRPr="00EC6BC8" w:rsidRDefault="00925B80" w:rsidP="00925B8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C6BC8">
        <w:rPr>
          <w:rFonts w:ascii="Times New Roman" w:hAnsi="Times New Roman"/>
          <w:bCs/>
          <w:i/>
          <w:iCs/>
          <w:sz w:val="28"/>
          <w:szCs w:val="28"/>
        </w:rPr>
        <w:t xml:space="preserve">активное вещество - </w:t>
      </w:r>
      <w:r w:rsidRPr="00EC6BC8">
        <w:rPr>
          <w:rFonts w:ascii="Times New Roman" w:hAnsi="Times New Roman"/>
          <w:bCs/>
          <w:iCs/>
          <w:sz w:val="28"/>
          <w:szCs w:val="28"/>
        </w:rPr>
        <w:t xml:space="preserve">ибупрофен 200 мг или 400 мг,   </w:t>
      </w:r>
    </w:p>
    <w:p w:rsidR="00925B80" w:rsidRPr="00EC6BC8" w:rsidRDefault="00925B80" w:rsidP="00925B8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C6BC8">
        <w:rPr>
          <w:rFonts w:ascii="Times New Roman" w:hAnsi="Times New Roman"/>
          <w:bCs/>
          <w:i/>
          <w:iCs/>
          <w:sz w:val="28"/>
          <w:szCs w:val="28"/>
        </w:rPr>
        <w:t>вспомогательные вещества:</w:t>
      </w:r>
      <w:r w:rsidRPr="00EC6BC8">
        <w:rPr>
          <w:rFonts w:ascii="Times New Roman" w:hAnsi="Times New Roman"/>
          <w:bCs/>
          <w:iCs/>
          <w:sz w:val="28"/>
          <w:szCs w:val="28"/>
        </w:rPr>
        <w:t xml:space="preserve"> лактозы моногидрат, крахмал кукурузный, целлюлоза микрокриста</w:t>
      </w:r>
      <w:r w:rsidR="00544058" w:rsidRPr="00EC6BC8">
        <w:rPr>
          <w:rFonts w:ascii="Times New Roman" w:hAnsi="Times New Roman"/>
          <w:bCs/>
          <w:iCs/>
          <w:sz w:val="28"/>
          <w:szCs w:val="28"/>
        </w:rPr>
        <w:t>ллическая, натрия кроскармеллоза</w:t>
      </w:r>
      <w:r w:rsidRPr="00EC6BC8">
        <w:rPr>
          <w:rFonts w:ascii="Times New Roman" w:hAnsi="Times New Roman"/>
          <w:bCs/>
          <w:iCs/>
          <w:sz w:val="28"/>
          <w:szCs w:val="28"/>
        </w:rPr>
        <w:t>, повидон, магния стеарат, кремния диоксид коллоидный безводный</w:t>
      </w:r>
      <w:r w:rsidR="00257A60" w:rsidRPr="00EC6B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01ECF" w:rsidRPr="00EC6BC8">
        <w:rPr>
          <w:rFonts w:ascii="Times New Roman" w:hAnsi="Times New Roman"/>
          <w:bCs/>
          <w:iCs/>
          <w:sz w:val="28"/>
          <w:szCs w:val="28"/>
        </w:rPr>
        <w:t>(А</w:t>
      </w:r>
      <w:r w:rsidR="00257A60" w:rsidRPr="00EC6BC8">
        <w:rPr>
          <w:rFonts w:ascii="Times New Roman" w:hAnsi="Times New Roman"/>
          <w:bCs/>
          <w:iCs/>
          <w:sz w:val="28"/>
          <w:szCs w:val="28"/>
        </w:rPr>
        <w:t>эросил)</w:t>
      </w:r>
      <w:r w:rsidRPr="00EC6BC8">
        <w:rPr>
          <w:rFonts w:ascii="Times New Roman" w:hAnsi="Times New Roman"/>
          <w:bCs/>
          <w:iCs/>
          <w:sz w:val="28"/>
          <w:szCs w:val="28"/>
        </w:rPr>
        <w:t>;</w:t>
      </w:r>
    </w:p>
    <w:p w:rsidR="00925B80" w:rsidRPr="00EC6BC8" w:rsidRDefault="00925B80" w:rsidP="00925B8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C6BC8">
        <w:rPr>
          <w:rFonts w:ascii="Times New Roman" w:hAnsi="Times New Roman"/>
          <w:bCs/>
          <w:iCs/>
          <w:sz w:val="28"/>
          <w:szCs w:val="28"/>
        </w:rPr>
        <w:t xml:space="preserve">состав оболочки: </w:t>
      </w:r>
      <w:proofErr w:type="spellStart"/>
      <w:r w:rsidR="00902437" w:rsidRPr="00EC6BC8">
        <w:rPr>
          <w:rFonts w:ascii="Times New Roman" w:hAnsi="Times New Roman"/>
          <w:bCs/>
          <w:iCs/>
          <w:sz w:val="28"/>
          <w:szCs w:val="28"/>
        </w:rPr>
        <w:t>Opadry</w:t>
      </w:r>
      <w:proofErr w:type="spellEnd"/>
      <w:r w:rsidR="00902437" w:rsidRPr="00EC6BC8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="00902437" w:rsidRPr="00EC6BC8">
        <w:rPr>
          <w:rFonts w:ascii="Times New Roman" w:hAnsi="Times New Roman"/>
          <w:bCs/>
          <w:iCs/>
          <w:sz w:val="28"/>
          <w:szCs w:val="28"/>
        </w:rPr>
        <w:t xml:space="preserve"> II 85F18422 </w:t>
      </w:r>
      <w:proofErr w:type="spellStart"/>
      <w:r w:rsidR="00902437" w:rsidRPr="00EC6BC8">
        <w:rPr>
          <w:rFonts w:ascii="Times New Roman" w:hAnsi="Times New Roman"/>
          <w:bCs/>
          <w:iCs/>
          <w:sz w:val="28"/>
          <w:szCs w:val="28"/>
        </w:rPr>
        <w:t>White</w:t>
      </w:r>
      <w:proofErr w:type="spellEnd"/>
      <w:r w:rsidR="00902437" w:rsidRPr="00EC6BC8">
        <w:rPr>
          <w:rFonts w:ascii="Times New Roman" w:hAnsi="Times New Roman"/>
          <w:bCs/>
          <w:iCs/>
          <w:sz w:val="28"/>
          <w:szCs w:val="28"/>
        </w:rPr>
        <w:t xml:space="preserve"> (спирт поливиниловый, титана диоксид (Е171), </w:t>
      </w:r>
      <w:proofErr w:type="spellStart"/>
      <w:r w:rsidR="00902437" w:rsidRPr="00EC6BC8">
        <w:rPr>
          <w:rFonts w:ascii="Times New Roman" w:hAnsi="Times New Roman"/>
          <w:bCs/>
          <w:iCs/>
          <w:sz w:val="28"/>
          <w:szCs w:val="28"/>
        </w:rPr>
        <w:t>полиэтиленгликоль</w:t>
      </w:r>
      <w:proofErr w:type="spellEnd"/>
      <w:r w:rsidR="00902437" w:rsidRPr="00EC6BC8">
        <w:rPr>
          <w:rFonts w:ascii="Times New Roman" w:hAnsi="Times New Roman"/>
          <w:bCs/>
          <w:iCs/>
          <w:sz w:val="28"/>
          <w:szCs w:val="28"/>
        </w:rPr>
        <w:t xml:space="preserve">/ </w:t>
      </w:r>
      <w:proofErr w:type="spellStart"/>
      <w:r w:rsidR="00902437" w:rsidRPr="00EC6BC8">
        <w:rPr>
          <w:rFonts w:ascii="Times New Roman" w:hAnsi="Times New Roman"/>
          <w:bCs/>
          <w:iCs/>
          <w:sz w:val="28"/>
          <w:szCs w:val="28"/>
        </w:rPr>
        <w:t>макрогол</w:t>
      </w:r>
      <w:proofErr w:type="spellEnd"/>
      <w:r w:rsidR="00902437" w:rsidRPr="00EC6BC8">
        <w:rPr>
          <w:rFonts w:ascii="Times New Roman" w:hAnsi="Times New Roman"/>
          <w:bCs/>
          <w:iCs/>
          <w:sz w:val="28"/>
          <w:szCs w:val="28"/>
        </w:rPr>
        <w:t xml:space="preserve">, тальк). </w:t>
      </w:r>
    </w:p>
    <w:p w:rsidR="00ED4F3D" w:rsidRPr="00EC6BC8" w:rsidRDefault="00ED4F3D" w:rsidP="00925B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5"/>
    <w:p w:rsidR="00C13047" w:rsidRPr="00EC6BC8" w:rsidRDefault="007F4283" w:rsidP="00BA4AC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EC6BC8">
        <w:rPr>
          <w:rFonts w:ascii="Times New Roman" w:hAnsi="Times New Roman"/>
          <w:color w:val="000000"/>
          <w:sz w:val="28"/>
          <w:szCs w:val="28"/>
        </w:rPr>
        <w:t>Таблетки круглой формы с двояковыпуклой поверхностью, покрытые пленочной оболочкой белого или почти белого цвета.</w:t>
      </w:r>
    </w:p>
    <w:p w:rsidR="007F4283" w:rsidRPr="00EC6BC8" w:rsidRDefault="007F4283" w:rsidP="00BA4A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Pr="00EC6BC8" w:rsidRDefault="0051702F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2175220287"/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 и упаковка</w:t>
      </w:r>
    </w:p>
    <w:p w:rsidR="00C13047" w:rsidRPr="00EC6BC8" w:rsidRDefault="00C13047" w:rsidP="00C13047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EC6BC8">
        <w:rPr>
          <w:rFonts w:ascii="Times New Roman" w:eastAsia="Batang" w:hAnsi="Times New Roman"/>
          <w:sz w:val="28"/>
          <w:szCs w:val="28"/>
        </w:rPr>
        <w:t xml:space="preserve">По 7 таблеток (для дозировки 200 мг) или 10 таблеток (для дозировки 400 мг) помещают в контурную ячейковую упаковку из пленки поливинилхлоридной и фольги алюминиевой. </w:t>
      </w:r>
    </w:p>
    <w:p w:rsidR="00AF00D3" w:rsidRPr="00EC6BC8" w:rsidRDefault="00C13047" w:rsidP="00C13047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EC6BC8">
        <w:rPr>
          <w:rFonts w:ascii="Times New Roman" w:eastAsia="Batang" w:hAnsi="Times New Roman"/>
          <w:sz w:val="28"/>
          <w:szCs w:val="28"/>
        </w:rPr>
        <w:t xml:space="preserve">По 2 контурные ячейковые упаковки вместе с инструкцией по медицинскому применению на </w:t>
      </w:r>
      <w:r w:rsidR="00A130D3" w:rsidRPr="00EC6BC8">
        <w:rPr>
          <w:rFonts w:ascii="Times New Roman" w:eastAsia="Batang" w:hAnsi="Times New Roman"/>
          <w:sz w:val="28"/>
          <w:szCs w:val="28"/>
        </w:rPr>
        <w:t xml:space="preserve">государственном </w:t>
      </w:r>
      <w:r w:rsidRPr="00EC6BC8">
        <w:rPr>
          <w:rFonts w:ascii="Times New Roman" w:eastAsia="Batang" w:hAnsi="Times New Roman"/>
          <w:sz w:val="28"/>
          <w:szCs w:val="28"/>
        </w:rPr>
        <w:t>и русском языках вкладывают в пачку из картона.</w:t>
      </w:r>
    </w:p>
    <w:p w:rsidR="00C13047" w:rsidRPr="00EC6BC8" w:rsidRDefault="00C13047" w:rsidP="00C1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CE8" w:rsidRPr="00EC6BC8" w:rsidRDefault="00844CE8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EC6BC8" w:rsidRDefault="00DF414A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3 года.</w:t>
      </w:r>
    </w:p>
    <w:p w:rsidR="000E01AB" w:rsidRPr="00EC6BC8" w:rsidRDefault="00D14D61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EC6BC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EC6BC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763CA6" w:rsidRPr="00EC6B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1AB" w:rsidRPr="00EC6BC8" w:rsidRDefault="00D14D61" w:rsidP="00BA4A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8"/>
      <w:bookmarkEnd w:id="6"/>
      <w:r w:rsidRPr="00EC6B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C13047" w:rsidRPr="00EC6BC8" w:rsidRDefault="00C130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Хранить в сухом месте, при температуре не выше 25°С. </w:t>
      </w:r>
    </w:p>
    <w:p w:rsidR="00D14D61" w:rsidRPr="00EC6BC8" w:rsidRDefault="00D14D61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8" w:name="2175220289"/>
      <w:bookmarkEnd w:id="7"/>
    </w:p>
    <w:bookmarkEnd w:id="8"/>
    <w:p w:rsidR="006B7A90" w:rsidRPr="00EC6BC8" w:rsidRDefault="006B7A90" w:rsidP="00BA4A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EC6BC8" w:rsidRDefault="006C6558" w:rsidP="00BA4A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6BC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 w:rsidR="00DF414A" w:rsidRPr="00EC6BC8">
        <w:rPr>
          <w:rFonts w:ascii="Times New Roman" w:hAnsi="Times New Roman"/>
          <w:b/>
          <w:color w:val="000000"/>
          <w:sz w:val="28"/>
          <w:szCs w:val="28"/>
        </w:rPr>
        <w:t>аптек</w:t>
      </w:r>
    </w:p>
    <w:p w:rsidR="00DF414A" w:rsidRPr="00EC6BC8" w:rsidRDefault="007C11B2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sz w:val="28"/>
          <w:szCs w:val="28"/>
          <w:lang w:eastAsia="ru-RU"/>
        </w:rPr>
        <w:t>Без рецепта</w:t>
      </w:r>
    </w:p>
    <w:p w:rsidR="007C11B2" w:rsidRPr="00EC6BC8" w:rsidRDefault="007C11B2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947" w:rsidRPr="00EC6BC8" w:rsidRDefault="00AA3947" w:rsidP="00BA4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г. Алматы, ул. Дегдар, 33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EC6BC8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AA3947" w:rsidRPr="00EC6BC8" w:rsidRDefault="00AA3947" w:rsidP="00BA4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947" w:rsidRPr="00EC6BC8" w:rsidRDefault="00AA3947" w:rsidP="00BA4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BC8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г. Алматы, ул. Дегдар, 33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EC6BC8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AA3947" w:rsidRPr="00EC6BC8" w:rsidRDefault="00AA3947" w:rsidP="00BA4ACC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</w:pPr>
      <w:r w:rsidRPr="00EC6BC8">
        <w:rPr>
          <w:rFonts w:ascii="Times New Roman" w:hAnsi="Times New Roman"/>
          <w:b/>
          <w:iCs/>
          <w:sz w:val="28"/>
          <w:szCs w:val="28"/>
        </w:rPr>
        <w:t>Наименова</w:t>
      </w:r>
      <w:r w:rsidR="008F508E" w:rsidRPr="00EC6BC8">
        <w:rPr>
          <w:rFonts w:ascii="Times New Roman" w:hAnsi="Times New Roman"/>
          <w:b/>
          <w:iCs/>
          <w:sz w:val="28"/>
          <w:szCs w:val="28"/>
        </w:rPr>
        <w:t>ние, адрес и контактные данные (телефон, факс, электронная</w:t>
      </w:r>
      <w:r w:rsidRPr="00EC6BC8">
        <w:rPr>
          <w:rFonts w:ascii="Times New Roman" w:hAnsi="Times New Roman"/>
          <w:b/>
          <w:iCs/>
          <w:sz w:val="28"/>
          <w:szCs w:val="28"/>
        </w:rPr>
        <w:t xml:space="preserve"> почта) организации</w:t>
      </w:r>
      <w:r w:rsidRPr="00EC6BC8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территории Республики Казахстан, принимающей претензии (</w:t>
      </w:r>
      <w:proofErr w:type="gramStart"/>
      <w:r w:rsidRPr="00EC6BC8">
        <w:rPr>
          <w:rFonts w:ascii="Times New Roman" w:hAnsi="Times New Roman"/>
          <w:b/>
          <w:iCs/>
          <w:color w:val="000000"/>
          <w:sz w:val="28"/>
          <w:szCs w:val="28"/>
        </w:rPr>
        <w:t>предложения)  по</w:t>
      </w:r>
      <w:proofErr w:type="gramEnd"/>
      <w:r w:rsidRPr="00EC6BC8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качеству </w:t>
      </w:r>
      <w:r w:rsidRPr="00EC6BC8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лекарственных  средств  от потребителей и  </w:t>
      </w:r>
      <w:r w:rsidRPr="00EC6BC8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AA3947" w:rsidRPr="00EC6BC8" w:rsidRDefault="004A6B5A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050030, </w:t>
      </w:r>
      <w:r w:rsidR="00AA3947" w:rsidRPr="00EC6BC8">
        <w:rPr>
          <w:rFonts w:ascii="Times New Roman" w:hAnsi="Times New Roman"/>
          <w:sz w:val="28"/>
          <w:szCs w:val="28"/>
        </w:rPr>
        <w:t>г. Алматы, ул. Дегдар, 33</w:t>
      </w:r>
    </w:p>
    <w:p w:rsidR="00AA3947" w:rsidRPr="00EC6BC8" w:rsidRDefault="00AA3947" w:rsidP="00BA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8E4156" w:rsidRPr="00EC6BC8" w:rsidRDefault="00AA3947" w:rsidP="008F5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1" w:history="1">
        <w:r w:rsidRPr="00EC6BC8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sectPr w:rsidR="008E4156" w:rsidRPr="00EC6BC8" w:rsidSect="009121DE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8D" w:rsidRDefault="001F778D" w:rsidP="00D275FC">
      <w:pPr>
        <w:spacing w:after="0" w:line="240" w:lineRule="auto"/>
      </w:pPr>
      <w:r>
        <w:separator/>
      </w:r>
    </w:p>
  </w:endnote>
  <w:endnote w:type="continuationSeparator" w:id="0">
    <w:p w:rsidR="001F778D" w:rsidRDefault="001F778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8D" w:rsidRDefault="001F778D" w:rsidP="00D275FC">
      <w:pPr>
        <w:spacing w:after="0" w:line="240" w:lineRule="auto"/>
      </w:pPr>
      <w:r>
        <w:separator/>
      </w:r>
    </w:p>
  </w:footnote>
  <w:footnote w:type="continuationSeparator" w:id="0">
    <w:p w:rsidR="001F778D" w:rsidRDefault="001F778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B9311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112" w:rsidRPr="00B93112" w:rsidRDefault="00B9311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hRZ4d/cCAABVBgAADgAAAAAAAAAAAAAAAAAuAgAAZHJzL2Uyb0RvYy54bWxQSwECLQAUAAYACAAA&#10;ACEAiuSa0N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B93112" w:rsidRPr="00B93112" w:rsidRDefault="00B9311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112" w:rsidRPr="00B93112" w:rsidRDefault="00B9311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5srTl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B93112" w:rsidRPr="00B93112" w:rsidRDefault="00B9311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F69C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461D"/>
    <w:multiLevelType w:val="hybridMultilevel"/>
    <w:tmpl w:val="007E3688"/>
    <w:lvl w:ilvl="0" w:tplc="4E0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3A5"/>
    <w:multiLevelType w:val="hybridMultilevel"/>
    <w:tmpl w:val="0CA2F75C"/>
    <w:lvl w:ilvl="0" w:tplc="10A288D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635D"/>
    <w:multiLevelType w:val="hybridMultilevel"/>
    <w:tmpl w:val="4A4E167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839B7"/>
    <w:multiLevelType w:val="hybridMultilevel"/>
    <w:tmpl w:val="AB567774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77F"/>
    <w:multiLevelType w:val="hybridMultilevel"/>
    <w:tmpl w:val="46545C96"/>
    <w:lvl w:ilvl="0" w:tplc="4E0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E16"/>
    <w:multiLevelType w:val="hybridMultilevel"/>
    <w:tmpl w:val="DEDC224C"/>
    <w:lvl w:ilvl="0" w:tplc="E09A1D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5262B"/>
    <w:multiLevelType w:val="hybridMultilevel"/>
    <w:tmpl w:val="FAAA0236"/>
    <w:lvl w:ilvl="0" w:tplc="4E0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6F28"/>
    <w:multiLevelType w:val="hybridMultilevel"/>
    <w:tmpl w:val="763E9214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A0666"/>
    <w:multiLevelType w:val="hybridMultilevel"/>
    <w:tmpl w:val="3BBC147E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66C51"/>
    <w:multiLevelType w:val="hybridMultilevel"/>
    <w:tmpl w:val="52B0B334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5991"/>
    <w:multiLevelType w:val="hybridMultilevel"/>
    <w:tmpl w:val="933873F4"/>
    <w:lvl w:ilvl="0" w:tplc="EB18B1AC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 w15:restartNumberingAfterBreak="0">
    <w:nsid w:val="49B605CE"/>
    <w:multiLevelType w:val="hybridMultilevel"/>
    <w:tmpl w:val="5BBE223A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53F54"/>
    <w:multiLevelType w:val="hybridMultilevel"/>
    <w:tmpl w:val="898A0162"/>
    <w:lvl w:ilvl="0" w:tplc="EB18B1AC">
      <w:start w:val="1"/>
      <w:numFmt w:val="bullet"/>
      <w:lvlText w:val=""/>
      <w:lvlJc w:val="left"/>
      <w:pPr>
        <w:ind w:left="668" w:hanging="567"/>
      </w:pPr>
      <w:rPr>
        <w:rFonts w:ascii="Symbol" w:hAnsi="Symbol" w:hint="default"/>
        <w:w w:val="100"/>
      </w:rPr>
    </w:lvl>
    <w:lvl w:ilvl="1" w:tplc="E5DCA9E6">
      <w:numFmt w:val="bullet"/>
      <w:lvlText w:val="o"/>
      <w:lvlJc w:val="left"/>
      <w:pPr>
        <w:ind w:left="1541" w:hanging="360"/>
      </w:pPr>
      <w:rPr>
        <w:rFonts w:ascii="Courier New" w:eastAsia="Times New Roman" w:hAnsi="Courier New" w:hint="default"/>
        <w:w w:val="100"/>
        <w:sz w:val="22"/>
      </w:rPr>
    </w:lvl>
    <w:lvl w:ilvl="2" w:tplc="68D66500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20167704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342E4A2C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EE90D0C0"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1FACDBE"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A1142262"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519E77EE">
      <w:numFmt w:val="bullet"/>
      <w:lvlText w:val="•"/>
      <w:lvlJc w:val="left"/>
      <w:pPr>
        <w:ind w:left="7124" w:hanging="360"/>
      </w:pPr>
      <w:rPr>
        <w:rFonts w:hint="default"/>
      </w:rPr>
    </w:lvl>
  </w:abstractNum>
  <w:abstractNum w:abstractNumId="26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8780D"/>
    <w:multiLevelType w:val="hybridMultilevel"/>
    <w:tmpl w:val="DC64A1BC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C55E5"/>
    <w:multiLevelType w:val="hybridMultilevel"/>
    <w:tmpl w:val="EC9EEBE4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056C"/>
    <w:multiLevelType w:val="hybridMultilevel"/>
    <w:tmpl w:val="20581310"/>
    <w:lvl w:ilvl="0" w:tplc="AF4A1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496D"/>
    <w:multiLevelType w:val="hybridMultilevel"/>
    <w:tmpl w:val="1EA60938"/>
    <w:lvl w:ilvl="0" w:tplc="4E0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335BD"/>
    <w:multiLevelType w:val="hybridMultilevel"/>
    <w:tmpl w:val="62F85048"/>
    <w:lvl w:ilvl="0" w:tplc="6FDCC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371A0"/>
    <w:multiLevelType w:val="hybridMultilevel"/>
    <w:tmpl w:val="930A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34"/>
  </w:num>
  <w:num w:numId="5">
    <w:abstractNumId w:val="43"/>
  </w:num>
  <w:num w:numId="6">
    <w:abstractNumId w:val="9"/>
  </w:num>
  <w:num w:numId="7">
    <w:abstractNumId w:val="38"/>
  </w:num>
  <w:num w:numId="8">
    <w:abstractNumId w:val="14"/>
  </w:num>
  <w:num w:numId="9">
    <w:abstractNumId w:val="29"/>
  </w:num>
  <w:num w:numId="10">
    <w:abstractNumId w:val="15"/>
  </w:num>
  <w:num w:numId="11">
    <w:abstractNumId w:val="28"/>
  </w:num>
  <w:num w:numId="12">
    <w:abstractNumId w:val="33"/>
  </w:num>
  <w:num w:numId="13">
    <w:abstractNumId w:val="35"/>
  </w:num>
  <w:num w:numId="14">
    <w:abstractNumId w:val="20"/>
  </w:num>
  <w:num w:numId="15">
    <w:abstractNumId w:val="0"/>
  </w:num>
  <w:num w:numId="16">
    <w:abstractNumId w:val="40"/>
  </w:num>
  <w:num w:numId="17">
    <w:abstractNumId w:val="27"/>
  </w:num>
  <w:num w:numId="18">
    <w:abstractNumId w:val="26"/>
  </w:num>
  <w:num w:numId="19">
    <w:abstractNumId w:val="13"/>
  </w:num>
  <w:num w:numId="20">
    <w:abstractNumId w:val="1"/>
  </w:num>
  <w:num w:numId="21">
    <w:abstractNumId w:val="18"/>
  </w:num>
  <w:num w:numId="22">
    <w:abstractNumId w:val="8"/>
  </w:num>
  <w:num w:numId="23">
    <w:abstractNumId w:val="37"/>
  </w:num>
  <w:num w:numId="24">
    <w:abstractNumId w:val="19"/>
  </w:num>
  <w:num w:numId="25">
    <w:abstractNumId w:val="16"/>
  </w:num>
  <w:num w:numId="26">
    <w:abstractNumId w:val="23"/>
  </w:num>
  <w:num w:numId="27">
    <w:abstractNumId w:val="25"/>
  </w:num>
  <w:num w:numId="28">
    <w:abstractNumId w:val="30"/>
  </w:num>
  <w:num w:numId="29">
    <w:abstractNumId w:val="4"/>
  </w:num>
  <w:num w:numId="30">
    <w:abstractNumId w:val="11"/>
  </w:num>
  <w:num w:numId="31">
    <w:abstractNumId w:val="24"/>
  </w:num>
  <w:num w:numId="32">
    <w:abstractNumId w:val="21"/>
  </w:num>
  <w:num w:numId="33">
    <w:abstractNumId w:val="6"/>
  </w:num>
  <w:num w:numId="34">
    <w:abstractNumId w:val="22"/>
  </w:num>
  <w:num w:numId="35">
    <w:abstractNumId w:val="32"/>
  </w:num>
  <w:num w:numId="36">
    <w:abstractNumId w:val="36"/>
  </w:num>
  <w:num w:numId="37">
    <w:abstractNumId w:val="42"/>
  </w:num>
  <w:num w:numId="38">
    <w:abstractNumId w:val="39"/>
  </w:num>
  <w:num w:numId="39">
    <w:abstractNumId w:val="10"/>
  </w:num>
  <w:num w:numId="40">
    <w:abstractNumId w:val="12"/>
  </w:num>
  <w:num w:numId="41">
    <w:abstractNumId w:val="3"/>
  </w:num>
  <w:num w:numId="42">
    <w:abstractNumId w:val="41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1F06"/>
    <w:rsid w:val="00010371"/>
    <w:rsid w:val="000244BA"/>
    <w:rsid w:val="000264BB"/>
    <w:rsid w:val="00026530"/>
    <w:rsid w:val="000324E6"/>
    <w:rsid w:val="00033FC1"/>
    <w:rsid w:val="00037E4D"/>
    <w:rsid w:val="00042999"/>
    <w:rsid w:val="0004441F"/>
    <w:rsid w:val="00046EA7"/>
    <w:rsid w:val="0008133E"/>
    <w:rsid w:val="00083AC9"/>
    <w:rsid w:val="000852A1"/>
    <w:rsid w:val="0009103C"/>
    <w:rsid w:val="000972E6"/>
    <w:rsid w:val="000A0D71"/>
    <w:rsid w:val="000B0B60"/>
    <w:rsid w:val="000B7267"/>
    <w:rsid w:val="000C2C4B"/>
    <w:rsid w:val="000C4006"/>
    <w:rsid w:val="000C4C48"/>
    <w:rsid w:val="000C669F"/>
    <w:rsid w:val="000D3F52"/>
    <w:rsid w:val="000E01AB"/>
    <w:rsid w:val="000E49F0"/>
    <w:rsid w:val="000E5D6E"/>
    <w:rsid w:val="000E6126"/>
    <w:rsid w:val="000F61A2"/>
    <w:rsid w:val="00100406"/>
    <w:rsid w:val="00107A8A"/>
    <w:rsid w:val="00111467"/>
    <w:rsid w:val="00111788"/>
    <w:rsid w:val="00116E8E"/>
    <w:rsid w:val="00120270"/>
    <w:rsid w:val="00125AB5"/>
    <w:rsid w:val="00132B9A"/>
    <w:rsid w:val="001368AE"/>
    <w:rsid w:val="00140024"/>
    <w:rsid w:val="00144CCD"/>
    <w:rsid w:val="0014739A"/>
    <w:rsid w:val="0015490C"/>
    <w:rsid w:val="001573E2"/>
    <w:rsid w:val="0016278D"/>
    <w:rsid w:val="00166930"/>
    <w:rsid w:val="00174B7E"/>
    <w:rsid w:val="001937AD"/>
    <w:rsid w:val="001A2CB2"/>
    <w:rsid w:val="001A370E"/>
    <w:rsid w:val="001B1BED"/>
    <w:rsid w:val="001B6AEC"/>
    <w:rsid w:val="001D409E"/>
    <w:rsid w:val="001E14D4"/>
    <w:rsid w:val="001E6F4C"/>
    <w:rsid w:val="001F06E8"/>
    <w:rsid w:val="001F16AA"/>
    <w:rsid w:val="001F4789"/>
    <w:rsid w:val="001F778D"/>
    <w:rsid w:val="00203355"/>
    <w:rsid w:val="00211005"/>
    <w:rsid w:val="00215AFE"/>
    <w:rsid w:val="00217D41"/>
    <w:rsid w:val="00221479"/>
    <w:rsid w:val="00222CA6"/>
    <w:rsid w:val="00232642"/>
    <w:rsid w:val="00237697"/>
    <w:rsid w:val="002402F6"/>
    <w:rsid w:val="0024458A"/>
    <w:rsid w:val="00250EDB"/>
    <w:rsid w:val="00256E10"/>
    <w:rsid w:val="00257A60"/>
    <w:rsid w:val="00260413"/>
    <w:rsid w:val="00260EBC"/>
    <w:rsid w:val="00263FCB"/>
    <w:rsid w:val="00264710"/>
    <w:rsid w:val="00265D9B"/>
    <w:rsid w:val="00267567"/>
    <w:rsid w:val="00270B0A"/>
    <w:rsid w:val="002746EB"/>
    <w:rsid w:val="00281FBE"/>
    <w:rsid w:val="002868F6"/>
    <w:rsid w:val="00290D2E"/>
    <w:rsid w:val="00292715"/>
    <w:rsid w:val="0029315C"/>
    <w:rsid w:val="002A4A1B"/>
    <w:rsid w:val="002A591C"/>
    <w:rsid w:val="002B025C"/>
    <w:rsid w:val="002C0D21"/>
    <w:rsid w:val="002C10E1"/>
    <w:rsid w:val="002C15EB"/>
    <w:rsid w:val="002C1660"/>
    <w:rsid w:val="002C35A2"/>
    <w:rsid w:val="002C5345"/>
    <w:rsid w:val="002C76D7"/>
    <w:rsid w:val="002D4B14"/>
    <w:rsid w:val="002D56B7"/>
    <w:rsid w:val="002E0BAD"/>
    <w:rsid w:val="002F1250"/>
    <w:rsid w:val="002F3E3F"/>
    <w:rsid w:val="002F4A14"/>
    <w:rsid w:val="002F69C5"/>
    <w:rsid w:val="00301ECF"/>
    <w:rsid w:val="00302361"/>
    <w:rsid w:val="003043BF"/>
    <w:rsid w:val="00312150"/>
    <w:rsid w:val="00320073"/>
    <w:rsid w:val="00323DC1"/>
    <w:rsid w:val="003262DF"/>
    <w:rsid w:val="00334C65"/>
    <w:rsid w:val="003428AB"/>
    <w:rsid w:val="0035656F"/>
    <w:rsid w:val="00357FF7"/>
    <w:rsid w:val="00360569"/>
    <w:rsid w:val="0036288F"/>
    <w:rsid w:val="00364B9C"/>
    <w:rsid w:val="00365B10"/>
    <w:rsid w:val="003662F1"/>
    <w:rsid w:val="00367BA7"/>
    <w:rsid w:val="003761C0"/>
    <w:rsid w:val="003812B2"/>
    <w:rsid w:val="00383CDB"/>
    <w:rsid w:val="00383CE3"/>
    <w:rsid w:val="00384F08"/>
    <w:rsid w:val="003879F9"/>
    <w:rsid w:val="003A035E"/>
    <w:rsid w:val="003B0211"/>
    <w:rsid w:val="003B0285"/>
    <w:rsid w:val="003B601A"/>
    <w:rsid w:val="003D4A8B"/>
    <w:rsid w:val="003D530B"/>
    <w:rsid w:val="003D6A38"/>
    <w:rsid w:val="003E13CF"/>
    <w:rsid w:val="003E45C2"/>
    <w:rsid w:val="003E6D35"/>
    <w:rsid w:val="003F0324"/>
    <w:rsid w:val="003F45A5"/>
    <w:rsid w:val="003F5344"/>
    <w:rsid w:val="003F7EDC"/>
    <w:rsid w:val="00404548"/>
    <w:rsid w:val="0041162E"/>
    <w:rsid w:val="004125C6"/>
    <w:rsid w:val="0042786D"/>
    <w:rsid w:val="0043281B"/>
    <w:rsid w:val="00433C62"/>
    <w:rsid w:val="00443183"/>
    <w:rsid w:val="0045166C"/>
    <w:rsid w:val="00452F8B"/>
    <w:rsid w:val="004549EF"/>
    <w:rsid w:val="00470D1B"/>
    <w:rsid w:val="00472EF5"/>
    <w:rsid w:val="00483649"/>
    <w:rsid w:val="0048687C"/>
    <w:rsid w:val="00487B86"/>
    <w:rsid w:val="004A31B4"/>
    <w:rsid w:val="004A33E9"/>
    <w:rsid w:val="004A3B9A"/>
    <w:rsid w:val="004A6B5A"/>
    <w:rsid w:val="004B28EE"/>
    <w:rsid w:val="004B479F"/>
    <w:rsid w:val="004B7CBB"/>
    <w:rsid w:val="004C1922"/>
    <w:rsid w:val="004C1B1A"/>
    <w:rsid w:val="004C462F"/>
    <w:rsid w:val="004C6662"/>
    <w:rsid w:val="004C6C3F"/>
    <w:rsid w:val="004D49E9"/>
    <w:rsid w:val="005071DA"/>
    <w:rsid w:val="0051702F"/>
    <w:rsid w:val="00523D82"/>
    <w:rsid w:val="00525FD0"/>
    <w:rsid w:val="00541A00"/>
    <w:rsid w:val="00542D45"/>
    <w:rsid w:val="00544058"/>
    <w:rsid w:val="005444B2"/>
    <w:rsid w:val="00552F8B"/>
    <w:rsid w:val="00561FE7"/>
    <w:rsid w:val="00575348"/>
    <w:rsid w:val="0058221C"/>
    <w:rsid w:val="0058461E"/>
    <w:rsid w:val="005869C5"/>
    <w:rsid w:val="00597CED"/>
    <w:rsid w:val="005A046A"/>
    <w:rsid w:val="005A3C81"/>
    <w:rsid w:val="005A5680"/>
    <w:rsid w:val="005A6639"/>
    <w:rsid w:val="005A6914"/>
    <w:rsid w:val="005B306C"/>
    <w:rsid w:val="005B3BAC"/>
    <w:rsid w:val="005B3C1C"/>
    <w:rsid w:val="005B3FFE"/>
    <w:rsid w:val="005C1519"/>
    <w:rsid w:val="005C1C4E"/>
    <w:rsid w:val="005C41E7"/>
    <w:rsid w:val="005C4A16"/>
    <w:rsid w:val="005C4B12"/>
    <w:rsid w:val="005D68C6"/>
    <w:rsid w:val="005D7EE3"/>
    <w:rsid w:val="005E2CE8"/>
    <w:rsid w:val="005E36A8"/>
    <w:rsid w:val="005E50DE"/>
    <w:rsid w:val="005F2C07"/>
    <w:rsid w:val="005F7097"/>
    <w:rsid w:val="0060364A"/>
    <w:rsid w:val="00606A98"/>
    <w:rsid w:val="00610459"/>
    <w:rsid w:val="00611FA2"/>
    <w:rsid w:val="00617843"/>
    <w:rsid w:val="00620F34"/>
    <w:rsid w:val="00621182"/>
    <w:rsid w:val="00624C1B"/>
    <w:rsid w:val="00624FBA"/>
    <w:rsid w:val="00625471"/>
    <w:rsid w:val="0062674F"/>
    <w:rsid w:val="00627853"/>
    <w:rsid w:val="00634D0C"/>
    <w:rsid w:val="00647314"/>
    <w:rsid w:val="00652BCE"/>
    <w:rsid w:val="00652E29"/>
    <w:rsid w:val="00653617"/>
    <w:rsid w:val="006574E2"/>
    <w:rsid w:val="0067136B"/>
    <w:rsid w:val="00675805"/>
    <w:rsid w:val="00691208"/>
    <w:rsid w:val="00693014"/>
    <w:rsid w:val="0069575E"/>
    <w:rsid w:val="006A09E0"/>
    <w:rsid w:val="006A23C4"/>
    <w:rsid w:val="006A702E"/>
    <w:rsid w:val="006B13C6"/>
    <w:rsid w:val="006B7A90"/>
    <w:rsid w:val="006C5F38"/>
    <w:rsid w:val="006C6558"/>
    <w:rsid w:val="006D7D5A"/>
    <w:rsid w:val="006E4305"/>
    <w:rsid w:val="006F5763"/>
    <w:rsid w:val="006F6747"/>
    <w:rsid w:val="00704BAB"/>
    <w:rsid w:val="007104D1"/>
    <w:rsid w:val="007135A6"/>
    <w:rsid w:val="007274A0"/>
    <w:rsid w:val="00732712"/>
    <w:rsid w:val="00732F32"/>
    <w:rsid w:val="00733A73"/>
    <w:rsid w:val="00736B6C"/>
    <w:rsid w:val="007415F8"/>
    <w:rsid w:val="00746FF2"/>
    <w:rsid w:val="007555D1"/>
    <w:rsid w:val="00761133"/>
    <w:rsid w:val="00763CA6"/>
    <w:rsid w:val="00764E84"/>
    <w:rsid w:val="007762F8"/>
    <w:rsid w:val="00783520"/>
    <w:rsid w:val="00791ECB"/>
    <w:rsid w:val="007A02D3"/>
    <w:rsid w:val="007A18B1"/>
    <w:rsid w:val="007A29FE"/>
    <w:rsid w:val="007A4E7B"/>
    <w:rsid w:val="007B14AA"/>
    <w:rsid w:val="007C055A"/>
    <w:rsid w:val="007C11B2"/>
    <w:rsid w:val="007C1693"/>
    <w:rsid w:val="007C7860"/>
    <w:rsid w:val="007C798F"/>
    <w:rsid w:val="007D094F"/>
    <w:rsid w:val="007D0E84"/>
    <w:rsid w:val="007D3F93"/>
    <w:rsid w:val="007D681B"/>
    <w:rsid w:val="007D7D65"/>
    <w:rsid w:val="007E1199"/>
    <w:rsid w:val="007E1D85"/>
    <w:rsid w:val="007E58EB"/>
    <w:rsid w:val="007E702A"/>
    <w:rsid w:val="007F4283"/>
    <w:rsid w:val="008102C7"/>
    <w:rsid w:val="0081154A"/>
    <w:rsid w:val="0082045C"/>
    <w:rsid w:val="00820B36"/>
    <w:rsid w:val="00820DDC"/>
    <w:rsid w:val="00827BB2"/>
    <w:rsid w:val="00831D3A"/>
    <w:rsid w:val="008329DA"/>
    <w:rsid w:val="008330E7"/>
    <w:rsid w:val="008353A4"/>
    <w:rsid w:val="00836E2D"/>
    <w:rsid w:val="00844CE8"/>
    <w:rsid w:val="00845700"/>
    <w:rsid w:val="00847154"/>
    <w:rsid w:val="00865C45"/>
    <w:rsid w:val="0086657B"/>
    <w:rsid w:val="00872FBD"/>
    <w:rsid w:val="008734AC"/>
    <w:rsid w:val="008776A9"/>
    <w:rsid w:val="008832E5"/>
    <w:rsid w:val="00890DF2"/>
    <w:rsid w:val="00897669"/>
    <w:rsid w:val="008B06B8"/>
    <w:rsid w:val="008C0181"/>
    <w:rsid w:val="008D4451"/>
    <w:rsid w:val="008D62B7"/>
    <w:rsid w:val="008E4156"/>
    <w:rsid w:val="008E6895"/>
    <w:rsid w:val="008F2F7E"/>
    <w:rsid w:val="008F508E"/>
    <w:rsid w:val="008F7B73"/>
    <w:rsid w:val="00900B3C"/>
    <w:rsid w:val="00902437"/>
    <w:rsid w:val="00904FB5"/>
    <w:rsid w:val="0091136C"/>
    <w:rsid w:val="009121DE"/>
    <w:rsid w:val="009157ED"/>
    <w:rsid w:val="00925B80"/>
    <w:rsid w:val="00930D7D"/>
    <w:rsid w:val="0094595D"/>
    <w:rsid w:val="0095047E"/>
    <w:rsid w:val="00956101"/>
    <w:rsid w:val="00962CD6"/>
    <w:rsid w:val="00963793"/>
    <w:rsid w:val="009846D9"/>
    <w:rsid w:val="00993A60"/>
    <w:rsid w:val="00993EEC"/>
    <w:rsid w:val="009A220D"/>
    <w:rsid w:val="009B014E"/>
    <w:rsid w:val="009B06C0"/>
    <w:rsid w:val="009B4E11"/>
    <w:rsid w:val="009C2582"/>
    <w:rsid w:val="009D255A"/>
    <w:rsid w:val="009D4AFF"/>
    <w:rsid w:val="009D5807"/>
    <w:rsid w:val="009D71D5"/>
    <w:rsid w:val="009D7E64"/>
    <w:rsid w:val="009E2887"/>
    <w:rsid w:val="009E5CB9"/>
    <w:rsid w:val="009F148F"/>
    <w:rsid w:val="009F31F2"/>
    <w:rsid w:val="009F45A5"/>
    <w:rsid w:val="00A01C2E"/>
    <w:rsid w:val="00A02BB2"/>
    <w:rsid w:val="00A04052"/>
    <w:rsid w:val="00A12563"/>
    <w:rsid w:val="00A130D3"/>
    <w:rsid w:val="00A17A1D"/>
    <w:rsid w:val="00A24108"/>
    <w:rsid w:val="00A41C1E"/>
    <w:rsid w:val="00A43E8A"/>
    <w:rsid w:val="00A478C4"/>
    <w:rsid w:val="00A5181C"/>
    <w:rsid w:val="00A51B37"/>
    <w:rsid w:val="00A75877"/>
    <w:rsid w:val="00A8185B"/>
    <w:rsid w:val="00AA3947"/>
    <w:rsid w:val="00AA5E2F"/>
    <w:rsid w:val="00AA7317"/>
    <w:rsid w:val="00AB5C98"/>
    <w:rsid w:val="00AB6D47"/>
    <w:rsid w:val="00AC2C0B"/>
    <w:rsid w:val="00AC4905"/>
    <w:rsid w:val="00AC73FC"/>
    <w:rsid w:val="00AD11AC"/>
    <w:rsid w:val="00AE3EDD"/>
    <w:rsid w:val="00AE4702"/>
    <w:rsid w:val="00AE7922"/>
    <w:rsid w:val="00AF00D3"/>
    <w:rsid w:val="00B01011"/>
    <w:rsid w:val="00B13B80"/>
    <w:rsid w:val="00B32B89"/>
    <w:rsid w:val="00B41502"/>
    <w:rsid w:val="00B45DCD"/>
    <w:rsid w:val="00B4612E"/>
    <w:rsid w:val="00B46F30"/>
    <w:rsid w:val="00B53AF5"/>
    <w:rsid w:val="00B608C1"/>
    <w:rsid w:val="00B60D3D"/>
    <w:rsid w:val="00B61D95"/>
    <w:rsid w:val="00B834A0"/>
    <w:rsid w:val="00B9187F"/>
    <w:rsid w:val="00B92288"/>
    <w:rsid w:val="00B93112"/>
    <w:rsid w:val="00B93501"/>
    <w:rsid w:val="00B95373"/>
    <w:rsid w:val="00BA0D4F"/>
    <w:rsid w:val="00BA4ACC"/>
    <w:rsid w:val="00BB3050"/>
    <w:rsid w:val="00BB7831"/>
    <w:rsid w:val="00BC31BC"/>
    <w:rsid w:val="00BC6167"/>
    <w:rsid w:val="00BC6ED8"/>
    <w:rsid w:val="00BE4435"/>
    <w:rsid w:val="00BE6B71"/>
    <w:rsid w:val="00BF3D4F"/>
    <w:rsid w:val="00C02D91"/>
    <w:rsid w:val="00C07BB3"/>
    <w:rsid w:val="00C13047"/>
    <w:rsid w:val="00C13248"/>
    <w:rsid w:val="00C15AF4"/>
    <w:rsid w:val="00C2000E"/>
    <w:rsid w:val="00C232B5"/>
    <w:rsid w:val="00C23B42"/>
    <w:rsid w:val="00C32805"/>
    <w:rsid w:val="00C379C9"/>
    <w:rsid w:val="00C422B8"/>
    <w:rsid w:val="00C51745"/>
    <w:rsid w:val="00C566D6"/>
    <w:rsid w:val="00C72089"/>
    <w:rsid w:val="00C839ED"/>
    <w:rsid w:val="00C84299"/>
    <w:rsid w:val="00C92F14"/>
    <w:rsid w:val="00C9308C"/>
    <w:rsid w:val="00C95A90"/>
    <w:rsid w:val="00C97365"/>
    <w:rsid w:val="00CB00B2"/>
    <w:rsid w:val="00CC08BA"/>
    <w:rsid w:val="00CC20FC"/>
    <w:rsid w:val="00CC330A"/>
    <w:rsid w:val="00CC5727"/>
    <w:rsid w:val="00CC7DBD"/>
    <w:rsid w:val="00CE17B1"/>
    <w:rsid w:val="00CE1FD7"/>
    <w:rsid w:val="00CE61A9"/>
    <w:rsid w:val="00CF2ADE"/>
    <w:rsid w:val="00CF3849"/>
    <w:rsid w:val="00D0233C"/>
    <w:rsid w:val="00D066FC"/>
    <w:rsid w:val="00D11462"/>
    <w:rsid w:val="00D14D61"/>
    <w:rsid w:val="00D17B4C"/>
    <w:rsid w:val="00D21A31"/>
    <w:rsid w:val="00D22A47"/>
    <w:rsid w:val="00D25009"/>
    <w:rsid w:val="00D272F0"/>
    <w:rsid w:val="00D275FC"/>
    <w:rsid w:val="00D3576E"/>
    <w:rsid w:val="00D43297"/>
    <w:rsid w:val="00D44970"/>
    <w:rsid w:val="00D46B0B"/>
    <w:rsid w:val="00D5323C"/>
    <w:rsid w:val="00D55ED8"/>
    <w:rsid w:val="00D664F0"/>
    <w:rsid w:val="00D700A0"/>
    <w:rsid w:val="00D70DB6"/>
    <w:rsid w:val="00D76048"/>
    <w:rsid w:val="00D846BC"/>
    <w:rsid w:val="00D91B03"/>
    <w:rsid w:val="00D93C80"/>
    <w:rsid w:val="00D95A21"/>
    <w:rsid w:val="00D96A8F"/>
    <w:rsid w:val="00D9733F"/>
    <w:rsid w:val="00DB20A7"/>
    <w:rsid w:val="00DB32A7"/>
    <w:rsid w:val="00DB406A"/>
    <w:rsid w:val="00DC5E0D"/>
    <w:rsid w:val="00DF11A7"/>
    <w:rsid w:val="00DF3107"/>
    <w:rsid w:val="00DF414A"/>
    <w:rsid w:val="00E271CB"/>
    <w:rsid w:val="00E27615"/>
    <w:rsid w:val="00E31D33"/>
    <w:rsid w:val="00E33D82"/>
    <w:rsid w:val="00E33EF9"/>
    <w:rsid w:val="00E34FE3"/>
    <w:rsid w:val="00E366CF"/>
    <w:rsid w:val="00E40965"/>
    <w:rsid w:val="00E53BC5"/>
    <w:rsid w:val="00E55D6C"/>
    <w:rsid w:val="00E57396"/>
    <w:rsid w:val="00E72C58"/>
    <w:rsid w:val="00E81A1B"/>
    <w:rsid w:val="00E81A86"/>
    <w:rsid w:val="00E8607B"/>
    <w:rsid w:val="00E91073"/>
    <w:rsid w:val="00E93541"/>
    <w:rsid w:val="00E93583"/>
    <w:rsid w:val="00E955DB"/>
    <w:rsid w:val="00EA2F86"/>
    <w:rsid w:val="00EA6D39"/>
    <w:rsid w:val="00EB1D97"/>
    <w:rsid w:val="00EC4B6B"/>
    <w:rsid w:val="00EC6BC8"/>
    <w:rsid w:val="00ED4F3D"/>
    <w:rsid w:val="00EF4278"/>
    <w:rsid w:val="00EF4C53"/>
    <w:rsid w:val="00F006F1"/>
    <w:rsid w:val="00F079A5"/>
    <w:rsid w:val="00F07B7B"/>
    <w:rsid w:val="00F11B65"/>
    <w:rsid w:val="00F22DD8"/>
    <w:rsid w:val="00F23B95"/>
    <w:rsid w:val="00F34EE3"/>
    <w:rsid w:val="00F40388"/>
    <w:rsid w:val="00F500C6"/>
    <w:rsid w:val="00F52583"/>
    <w:rsid w:val="00F60692"/>
    <w:rsid w:val="00F63389"/>
    <w:rsid w:val="00F64FB0"/>
    <w:rsid w:val="00F729AC"/>
    <w:rsid w:val="00F7364A"/>
    <w:rsid w:val="00F82E49"/>
    <w:rsid w:val="00F84E93"/>
    <w:rsid w:val="00F91977"/>
    <w:rsid w:val="00F95CE9"/>
    <w:rsid w:val="00F97B57"/>
    <w:rsid w:val="00FA00B8"/>
    <w:rsid w:val="00FA4142"/>
    <w:rsid w:val="00FA4F7C"/>
    <w:rsid w:val="00FB0456"/>
    <w:rsid w:val="00FB47F4"/>
    <w:rsid w:val="00FB58D9"/>
    <w:rsid w:val="00FD067B"/>
    <w:rsid w:val="00FD19F0"/>
    <w:rsid w:val="00FD2B12"/>
    <w:rsid w:val="00FD2B9F"/>
    <w:rsid w:val="00FE078C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5C232E-A944-4829-A2A6-55D99F8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aliases w:val="Обычный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rsid w:val="00D21A31"/>
    <w:pPr>
      <w:widowControl w:val="0"/>
      <w:autoSpaceDE w:val="0"/>
      <w:autoSpaceDN w:val="0"/>
      <w:spacing w:after="0" w:line="252" w:lineRule="exact"/>
      <w:ind w:left="461" w:hanging="360"/>
    </w:pPr>
    <w:rPr>
      <w:rFonts w:ascii="Times New Roman" w:hAnsi="Times New Roman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DF4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F414A"/>
    <w:rPr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452F8B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(веб)1"/>
    <w:basedOn w:val="a"/>
    <w:rsid w:val="002C0D21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Web1">
    <w:name w:val="Normal (Web)1"/>
    <w:basedOn w:val="a"/>
    <w:rsid w:val="00BA0D4F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tlid-translation">
    <w:name w:val="tlid-translation"/>
    <w:basedOn w:val="a0"/>
    <w:rsid w:val="004C6662"/>
  </w:style>
  <w:style w:type="paragraph" w:customStyle="1" w:styleId="EMEAEnBodyText">
    <w:name w:val="EMEA En Body Text"/>
    <w:basedOn w:val="a"/>
    <w:rsid w:val="00F82E49"/>
    <w:pPr>
      <w:spacing w:before="120" w:after="120" w:line="240" w:lineRule="auto"/>
      <w:jc w:val="both"/>
    </w:pPr>
    <w:rPr>
      <w:rFonts w:ascii="Times New Roman" w:eastAsia="Times New Roman" w:hAnsi="Times New Roman"/>
      <w:noProof/>
      <w:szCs w:val="20"/>
      <w:lang w:val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00C6"/>
    <w:pPr>
      <w:spacing w:after="200"/>
    </w:pPr>
    <w:rPr>
      <w:rFonts w:asciiTheme="minorHAnsi" w:eastAsiaTheme="minorHAnsi" w:hAnsiTheme="minorHAnsi" w:cstheme="minorBidi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00C6"/>
    <w:rPr>
      <w:rFonts w:asciiTheme="minorHAnsi" w:eastAsiaTheme="minorHAnsi" w:hAnsiTheme="minorHAnsi" w:cstheme="minorBidi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@vivaphar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@vivaphar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@vivapharm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AD37-7910-423F-A4A7-F2F7537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4115</Words>
  <Characters>23460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27520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Ибрагимова Асем</cp:lastModifiedBy>
  <cp:revision>5</cp:revision>
  <cp:lastPrinted>2021-01-27T09:18:00Z</cp:lastPrinted>
  <dcterms:created xsi:type="dcterms:W3CDTF">2021-03-05T03:43:00Z</dcterms:created>
  <dcterms:modified xsi:type="dcterms:W3CDTF">2022-03-09T10:58:00Z</dcterms:modified>
</cp:coreProperties>
</file>