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523D82" w:rsidRPr="00F547D3" w:rsidTr="007E1D85">
        <w:tc>
          <w:tcPr>
            <w:tcW w:w="5211" w:type="dxa"/>
            <w:hideMark/>
          </w:tcPr>
          <w:p w:rsidR="007E1D85" w:rsidRPr="00F547D3" w:rsidRDefault="007E1D85" w:rsidP="008477CC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:rsidR="00523D82" w:rsidRPr="00F547D3" w:rsidRDefault="00523D82" w:rsidP="008477C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F547D3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:rsidR="009C41EE" w:rsidRPr="00F547D3" w:rsidRDefault="009C41EE" w:rsidP="009C41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F547D3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Приказом Председателя </w:t>
            </w:r>
          </w:p>
          <w:p w:rsidR="009C41EE" w:rsidRPr="00F547D3" w:rsidRDefault="009C41EE" w:rsidP="009C41E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F547D3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РГУ «Комитет медицинского и фармацевтического контроля</w:t>
            </w:r>
          </w:p>
          <w:p w:rsidR="009C41EE" w:rsidRPr="00F547D3" w:rsidRDefault="009C41EE" w:rsidP="009C41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F547D3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Министерства здравоохранения </w:t>
            </w:r>
          </w:p>
          <w:p w:rsidR="009C41EE" w:rsidRPr="00F547D3" w:rsidRDefault="009C41EE" w:rsidP="009C41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F547D3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Республики Казахстан»</w:t>
            </w:r>
          </w:p>
          <w:p w:rsidR="009C41EE" w:rsidRPr="00F547D3" w:rsidRDefault="009C41EE" w:rsidP="009C41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F547D3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от «</w:t>
            </w:r>
            <w:r w:rsidR="00AE32B1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07</w:t>
            </w:r>
            <w:r w:rsidRPr="00F547D3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 __</w:t>
            </w:r>
            <w:r w:rsidR="00AE32B1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08</w:t>
            </w:r>
            <w:r w:rsidRPr="00F547D3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__2023 г.</w:t>
            </w:r>
          </w:p>
          <w:p w:rsidR="00523D82" w:rsidRPr="00F547D3" w:rsidRDefault="009C41EE" w:rsidP="00AE32B1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F547D3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  <w:r w:rsidR="00AE32B1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r w:rsidR="00AE32B1" w:rsidRPr="00AE32B1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N065990</w:t>
            </w:r>
            <w:bookmarkEnd w:id="0"/>
          </w:p>
        </w:tc>
        <w:tc>
          <w:tcPr>
            <w:tcW w:w="4536" w:type="dxa"/>
          </w:tcPr>
          <w:p w:rsidR="00523D82" w:rsidRPr="00F547D3" w:rsidRDefault="00D46B0B" w:rsidP="008477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F547D3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3D82" w:rsidRPr="00F547D3" w:rsidTr="007E1D85">
        <w:tc>
          <w:tcPr>
            <w:tcW w:w="5211" w:type="dxa"/>
          </w:tcPr>
          <w:p w:rsidR="00523D82" w:rsidRPr="00F547D3" w:rsidRDefault="00523D82" w:rsidP="008477CC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23D82" w:rsidRPr="00F547D3" w:rsidRDefault="00523D82" w:rsidP="008477CC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23D82" w:rsidRPr="00F547D3" w:rsidRDefault="00523D82" w:rsidP="008477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  <w:tr w:rsidR="00523D82" w:rsidRPr="00F547D3" w:rsidTr="007E1D85">
        <w:trPr>
          <w:trHeight w:val="80"/>
        </w:trPr>
        <w:tc>
          <w:tcPr>
            <w:tcW w:w="5211" w:type="dxa"/>
          </w:tcPr>
          <w:p w:rsidR="00523D82" w:rsidRPr="00F547D3" w:rsidRDefault="00523D82" w:rsidP="008477CC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23D82" w:rsidRPr="00F547D3" w:rsidRDefault="00523D82" w:rsidP="008477C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23D82" w:rsidRPr="00F547D3" w:rsidRDefault="00523D82" w:rsidP="008477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62F1" w:rsidRPr="00F547D3" w:rsidTr="003662F1">
        <w:trPr>
          <w:trHeight w:val="80"/>
        </w:trPr>
        <w:tc>
          <w:tcPr>
            <w:tcW w:w="14283" w:type="dxa"/>
            <w:gridSpan w:val="3"/>
          </w:tcPr>
          <w:p w:rsidR="003662F1" w:rsidRPr="00F547D3" w:rsidRDefault="003662F1" w:rsidP="008477CC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</w:tbl>
    <w:p w:rsidR="00D76048" w:rsidRPr="00F547D3" w:rsidRDefault="00D76048" w:rsidP="008477C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47D3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:rsidR="00D76048" w:rsidRPr="00F547D3" w:rsidRDefault="00D76048" w:rsidP="00FE0B0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47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</w:t>
      </w:r>
      <w:r w:rsidR="007D0E84" w:rsidRPr="00F547D3">
        <w:rPr>
          <w:rFonts w:ascii="Times New Roman" w:eastAsia="Times New Roman" w:hAnsi="Times New Roman"/>
          <w:b/>
          <w:sz w:val="28"/>
          <w:szCs w:val="28"/>
          <w:lang w:eastAsia="ru-RU"/>
        </w:rPr>
        <w:t>препарата</w:t>
      </w:r>
      <w:r w:rsidR="00AE7922" w:rsidRPr="00F547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2C1660" w:rsidRPr="00F547D3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F547D3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:rsidR="0017054A" w:rsidRPr="00F547D3" w:rsidRDefault="0017054A" w:rsidP="0017054A">
      <w:pPr>
        <w:pStyle w:val="a9"/>
        <w:jc w:val="center"/>
        <w:rPr>
          <w:highlight w:val="yellow"/>
        </w:rPr>
      </w:pPr>
    </w:p>
    <w:p w:rsidR="002C76D7" w:rsidRPr="00F547D3" w:rsidRDefault="00D76048" w:rsidP="008477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47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</w:t>
      </w:r>
      <w:r w:rsidR="00E55D6C" w:rsidRPr="00F547D3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</w:t>
      </w:r>
      <w:r w:rsidR="00AE7922" w:rsidRPr="00F547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E519A" w:rsidRPr="00F547D3" w:rsidRDefault="008C045F" w:rsidP="008477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7D3">
        <w:rPr>
          <w:rFonts w:ascii="Times New Roman" w:eastAsia="Times New Roman" w:hAnsi="Times New Roman"/>
          <w:sz w:val="28"/>
          <w:szCs w:val="28"/>
          <w:lang w:eastAsia="ru-RU"/>
        </w:rPr>
        <w:t xml:space="preserve">Каптоприл Н </w:t>
      </w:r>
      <w:r w:rsidR="00EE6C74" w:rsidRPr="00F547D3">
        <w:rPr>
          <w:rFonts w:ascii="Times New Roman" w:eastAsia="Times New Roman" w:hAnsi="Times New Roman"/>
          <w:sz w:val="28"/>
          <w:szCs w:val="28"/>
          <w:lang w:eastAsia="ru-RU"/>
        </w:rPr>
        <w:t>Вива Фарм</w:t>
      </w:r>
      <w:r w:rsidR="00EC0874" w:rsidRPr="00F5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C045F" w:rsidRPr="00F547D3" w:rsidRDefault="008C045F" w:rsidP="008477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76D7" w:rsidRPr="00F547D3" w:rsidRDefault="00AE7922" w:rsidP="008477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7D3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:rsidR="00FE519A" w:rsidRPr="00F547D3" w:rsidRDefault="00E262EC" w:rsidP="008477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7D3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E262EC" w:rsidRPr="00F547D3" w:rsidRDefault="00E262EC" w:rsidP="008477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6048" w:rsidRPr="00F547D3" w:rsidRDefault="002C76D7" w:rsidP="008477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47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</w:t>
      </w:r>
      <w:r w:rsidR="00AE7922" w:rsidRPr="00F547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дозировка  </w:t>
      </w:r>
    </w:p>
    <w:p w:rsidR="009D7E64" w:rsidRPr="00F547D3" w:rsidRDefault="008C045F" w:rsidP="008477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7D3">
        <w:rPr>
          <w:rFonts w:ascii="Times New Roman" w:eastAsia="Times New Roman" w:hAnsi="Times New Roman"/>
          <w:sz w:val="28"/>
          <w:szCs w:val="28"/>
          <w:lang w:eastAsia="ru-RU"/>
        </w:rPr>
        <w:t>Таблетки, 50 мг/25 мг</w:t>
      </w:r>
    </w:p>
    <w:p w:rsidR="008C045F" w:rsidRPr="00F547D3" w:rsidRDefault="008C045F" w:rsidP="008477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1660" w:rsidRPr="00F547D3" w:rsidRDefault="00AE7922" w:rsidP="008477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bookmarkStart w:id="1" w:name="OCRUncertain022"/>
      <w:r w:rsidRPr="00F547D3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1"/>
      <w:r w:rsidRPr="00F547D3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2C1660" w:rsidRPr="00F547D3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:rsidR="008C045F" w:rsidRPr="00F547D3" w:rsidRDefault="00FE519A" w:rsidP="008C045F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trike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>Сердечно-сосудистая система. Препараты, влияющие на ренин-</w:t>
      </w:r>
      <w:proofErr w:type="spellStart"/>
      <w:r w:rsidRPr="00F547D3">
        <w:rPr>
          <w:rFonts w:ascii="Times New Roman" w:hAnsi="Times New Roman"/>
          <w:sz w:val="28"/>
          <w:szCs w:val="28"/>
        </w:rPr>
        <w:t>ангиотензиновую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систему. </w:t>
      </w:r>
      <w:proofErr w:type="spellStart"/>
      <w:r w:rsidR="008C045F" w:rsidRPr="00F547D3">
        <w:rPr>
          <w:rFonts w:ascii="Times New Roman" w:hAnsi="Times New Roman"/>
          <w:sz w:val="28"/>
          <w:szCs w:val="28"/>
        </w:rPr>
        <w:t>Ангиотензин</w:t>
      </w:r>
      <w:proofErr w:type="spellEnd"/>
      <w:r w:rsidR="008C045F" w:rsidRPr="00F547D3">
        <w:rPr>
          <w:rFonts w:ascii="Times New Roman" w:hAnsi="Times New Roman"/>
          <w:sz w:val="28"/>
          <w:szCs w:val="28"/>
        </w:rPr>
        <w:t>-конвертирующего фермента (АКФ) ингибиторы в комбинации с другими препаратами. АКФ ингибиторы в комбинации с диуретиками. Каптоприл в комбинации с диуретиками</w:t>
      </w:r>
    </w:p>
    <w:p w:rsidR="002C76D7" w:rsidRPr="00F547D3" w:rsidRDefault="004B7B18" w:rsidP="008C045F">
      <w:pPr>
        <w:keepNext/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</w:t>
      </w:r>
      <w:r w:rsidR="008C045F" w:rsidRPr="00F547D3">
        <w:rPr>
          <w:rFonts w:ascii="Times New Roman" w:hAnsi="Times New Roman"/>
          <w:sz w:val="28"/>
          <w:szCs w:val="28"/>
        </w:rPr>
        <w:t>од АТХ С09BA01</w:t>
      </w:r>
      <w:r w:rsidR="002C76D7" w:rsidRPr="00F547D3">
        <w:rPr>
          <w:rFonts w:ascii="Times New Roman" w:hAnsi="Times New Roman"/>
          <w:sz w:val="28"/>
          <w:szCs w:val="28"/>
        </w:rPr>
        <w:br/>
      </w:r>
    </w:p>
    <w:p w:rsidR="002C76D7" w:rsidRPr="00F547D3" w:rsidRDefault="005444B2" w:rsidP="008477CC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547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  <w:r w:rsidR="002C76D7" w:rsidRPr="00F547D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A475F" w:rsidRPr="00F547D3" w:rsidRDefault="008164B1" w:rsidP="00816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>Для лечения артериальной гипертензии легкой и средней степени тяжести у пациентов, артериальное давление которых контролируется должным образом отдельными препаратами, вводимых в тех же дозах</w:t>
      </w:r>
    </w:p>
    <w:p w:rsidR="00844CE8" w:rsidRPr="00F547D3" w:rsidRDefault="00844CE8" w:rsidP="008477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406A" w:rsidRPr="00F547D3" w:rsidRDefault="00DB406A" w:rsidP="008477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47D3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844CE8" w:rsidRPr="00F547D3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:rsidR="007D0E84" w:rsidRPr="00F547D3" w:rsidRDefault="007D0E84" w:rsidP="008C045F">
      <w:pPr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 w:rsidRPr="00F547D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  <w:r w:rsidR="00FE0B0F" w:rsidRPr="00F547D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6B04E7" w:rsidRPr="00F547D3" w:rsidRDefault="003D3733" w:rsidP="006B04E7">
      <w:pPr>
        <w:pStyle w:val="ab"/>
        <w:numPr>
          <w:ilvl w:val="0"/>
          <w:numId w:val="37"/>
        </w:numPr>
        <w:tabs>
          <w:tab w:val="left" w:pos="8931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гиперчувствительность к </w:t>
      </w:r>
      <w:proofErr w:type="spellStart"/>
      <w:r w:rsidRPr="00F547D3">
        <w:rPr>
          <w:rFonts w:ascii="Times New Roman" w:hAnsi="Times New Roman"/>
          <w:sz w:val="28"/>
          <w:szCs w:val="28"/>
        </w:rPr>
        <w:t>каптоприлу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или к другим ингибиторам АКФ, а также к </w:t>
      </w:r>
      <w:proofErr w:type="spellStart"/>
      <w:r w:rsidRPr="00F547D3">
        <w:rPr>
          <w:rFonts w:ascii="Times New Roman" w:hAnsi="Times New Roman"/>
          <w:sz w:val="28"/>
          <w:szCs w:val="28"/>
        </w:rPr>
        <w:t>гидрохлоротиазиду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или к производным </w:t>
      </w:r>
      <w:proofErr w:type="spellStart"/>
      <w:r w:rsidRPr="00F547D3">
        <w:rPr>
          <w:rFonts w:ascii="Times New Roman" w:hAnsi="Times New Roman"/>
          <w:sz w:val="28"/>
          <w:szCs w:val="28"/>
        </w:rPr>
        <w:t>сульфонамида</w:t>
      </w:r>
      <w:proofErr w:type="spellEnd"/>
      <w:r w:rsidR="00C837D9" w:rsidRPr="00F547D3">
        <w:rPr>
          <w:rFonts w:ascii="Times New Roman" w:hAnsi="Times New Roman"/>
          <w:sz w:val="28"/>
          <w:szCs w:val="28"/>
        </w:rPr>
        <w:t>,</w:t>
      </w:r>
      <w:r w:rsidRPr="00F547D3">
        <w:rPr>
          <w:rFonts w:ascii="Times New Roman" w:hAnsi="Times New Roman"/>
          <w:sz w:val="28"/>
          <w:szCs w:val="28"/>
        </w:rPr>
        <w:t xml:space="preserve"> или к люб</w:t>
      </w:r>
      <w:r w:rsidR="00C837D9" w:rsidRPr="00F547D3">
        <w:rPr>
          <w:rFonts w:ascii="Times New Roman" w:hAnsi="Times New Roman"/>
          <w:sz w:val="28"/>
          <w:szCs w:val="28"/>
        </w:rPr>
        <w:t>ому из вспомогательных веществ</w:t>
      </w:r>
    </w:p>
    <w:p w:rsidR="006B04E7" w:rsidRPr="00F547D3" w:rsidRDefault="006B04E7" w:rsidP="006B04E7">
      <w:pPr>
        <w:pStyle w:val="ab"/>
        <w:numPr>
          <w:ilvl w:val="0"/>
          <w:numId w:val="37"/>
        </w:numPr>
        <w:tabs>
          <w:tab w:val="left" w:pos="8931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период беременности (II и III триместр) </w:t>
      </w:r>
    </w:p>
    <w:p w:rsidR="006B04E7" w:rsidRPr="00F547D3" w:rsidRDefault="006B04E7" w:rsidP="006B04E7">
      <w:pPr>
        <w:pStyle w:val="ab"/>
        <w:numPr>
          <w:ilvl w:val="0"/>
          <w:numId w:val="37"/>
        </w:numPr>
        <w:tabs>
          <w:tab w:val="left" w:pos="8931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>ангионевротический отек, связанный с предшествующей терапией ингибитором АКФ</w:t>
      </w:r>
    </w:p>
    <w:p w:rsidR="006B04E7" w:rsidRPr="00F547D3" w:rsidRDefault="006B04E7" w:rsidP="006B04E7">
      <w:pPr>
        <w:pStyle w:val="ab"/>
        <w:numPr>
          <w:ilvl w:val="0"/>
          <w:numId w:val="37"/>
        </w:numPr>
        <w:tabs>
          <w:tab w:val="left" w:pos="8931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>наследственный или идиопатический ангионевротический отек</w:t>
      </w:r>
    </w:p>
    <w:p w:rsidR="006B04E7" w:rsidRPr="00F547D3" w:rsidRDefault="006B04E7" w:rsidP="006B04E7">
      <w:pPr>
        <w:pStyle w:val="ab"/>
        <w:numPr>
          <w:ilvl w:val="0"/>
          <w:numId w:val="37"/>
        </w:numPr>
        <w:tabs>
          <w:tab w:val="left" w:pos="8931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lastRenderedPageBreak/>
        <w:t>тяжелая почечная недостаточность (креатинина &lt;30 мл/мин)</w:t>
      </w:r>
    </w:p>
    <w:p w:rsidR="006B04E7" w:rsidRPr="00F547D3" w:rsidRDefault="006B04E7" w:rsidP="006B04E7">
      <w:pPr>
        <w:pStyle w:val="ab"/>
        <w:numPr>
          <w:ilvl w:val="0"/>
          <w:numId w:val="37"/>
        </w:numPr>
        <w:tabs>
          <w:tab w:val="left" w:pos="8931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>тяжелая печеночная недостаточность</w:t>
      </w:r>
    </w:p>
    <w:p w:rsidR="006B04E7" w:rsidRPr="00F547D3" w:rsidRDefault="006B04E7" w:rsidP="006B04E7">
      <w:pPr>
        <w:pStyle w:val="ab"/>
        <w:numPr>
          <w:ilvl w:val="0"/>
          <w:numId w:val="37"/>
        </w:numPr>
        <w:tabs>
          <w:tab w:val="left" w:pos="8931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применение </w:t>
      </w:r>
      <w:proofErr w:type="spellStart"/>
      <w:r w:rsidRPr="00F547D3">
        <w:rPr>
          <w:rFonts w:ascii="Times New Roman" w:hAnsi="Times New Roman"/>
          <w:sz w:val="28"/>
          <w:szCs w:val="28"/>
        </w:rPr>
        <w:t>каптоприла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в комбинации с препаратами, содержащими </w:t>
      </w:r>
      <w:proofErr w:type="spellStart"/>
      <w:r w:rsidRPr="00F547D3">
        <w:rPr>
          <w:rFonts w:ascii="Times New Roman" w:hAnsi="Times New Roman"/>
          <w:sz w:val="28"/>
          <w:szCs w:val="28"/>
        </w:rPr>
        <w:t>алискирен</w:t>
      </w:r>
      <w:proofErr w:type="spellEnd"/>
      <w:r w:rsidRPr="00F547D3">
        <w:rPr>
          <w:rFonts w:ascii="Times New Roman" w:hAnsi="Times New Roman"/>
          <w:sz w:val="28"/>
          <w:szCs w:val="28"/>
        </w:rPr>
        <w:t>, у пациентов с сахарным диабетом или с умеренной, или тяжелой почечной недостаточностью (СКФ &lt;60 мл/мин/1.73 м</w:t>
      </w:r>
      <w:r w:rsidRPr="00F547D3">
        <w:rPr>
          <w:rFonts w:ascii="Times New Roman" w:hAnsi="Times New Roman"/>
          <w:sz w:val="28"/>
          <w:szCs w:val="28"/>
          <w:vertAlign w:val="superscript"/>
        </w:rPr>
        <w:t>2</w:t>
      </w:r>
      <w:r w:rsidRPr="00F547D3">
        <w:rPr>
          <w:rFonts w:ascii="Times New Roman" w:hAnsi="Times New Roman"/>
          <w:sz w:val="28"/>
          <w:szCs w:val="28"/>
        </w:rPr>
        <w:t>)</w:t>
      </w:r>
    </w:p>
    <w:p w:rsidR="006B04E7" w:rsidRPr="00F547D3" w:rsidRDefault="006B04E7" w:rsidP="006B04E7">
      <w:pPr>
        <w:pStyle w:val="ab"/>
        <w:numPr>
          <w:ilvl w:val="0"/>
          <w:numId w:val="37"/>
        </w:numPr>
        <w:tabs>
          <w:tab w:val="left" w:pos="8931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лица с наследственной непереносимостью фруктозы, дефицитом фермента </w:t>
      </w:r>
      <w:proofErr w:type="spellStart"/>
      <w:r w:rsidRPr="00F547D3">
        <w:rPr>
          <w:rFonts w:ascii="Times New Roman" w:hAnsi="Times New Roman"/>
          <w:sz w:val="28"/>
          <w:szCs w:val="28"/>
        </w:rPr>
        <w:t>Lapp-лактазы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47D3">
        <w:rPr>
          <w:rFonts w:ascii="Times New Roman" w:hAnsi="Times New Roman"/>
          <w:sz w:val="28"/>
          <w:szCs w:val="28"/>
        </w:rPr>
        <w:t>мальабсорбцией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глюкозы-галактозы</w:t>
      </w:r>
    </w:p>
    <w:p w:rsidR="006B04E7" w:rsidRPr="00F547D3" w:rsidRDefault="006B04E7" w:rsidP="006B04E7">
      <w:pPr>
        <w:pStyle w:val="ab"/>
        <w:numPr>
          <w:ilvl w:val="0"/>
          <w:numId w:val="37"/>
        </w:numPr>
        <w:tabs>
          <w:tab w:val="left" w:pos="8931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>детский и подростковый возраст до 18 лет</w:t>
      </w:r>
    </w:p>
    <w:p w:rsidR="00A509B3" w:rsidRPr="00F547D3" w:rsidRDefault="00A509B3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C7C" w:rsidRPr="00F547D3" w:rsidRDefault="00D86C7C" w:rsidP="008C045F">
      <w:pPr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 w:rsidRPr="00F547D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  <w:r w:rsidR="0017054A" w:rsidRPr="00F547D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547D3">
        <w:rPr>
          <w:rFonts w:ascii="Times New Roman" w:hAnsi="Times New Roman"/>
          <w:b/>
          <w:i/>
          <w:sz w:val="28"/>
          <w:szCs w:val="28"/>
        </w:rPr>
        <w:t>Каптоприл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547D3">
        <w:rPr>
          <w:rFonts w:ascii="Times New Roman" w:hAnsi="Times New Roman"/>
          <w:i/>
          <w:sz w:val="28"/>
          <w:szCs w:val="28"/>
        </w:rPr>
        <w:t>Гипотензия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Гипотензия редко наблюдается у пациентов с неосложненной гипертензией. Симптоматическая гипотензия более типична для гипертоников со сниженным объемом крови и/или </w:t>
      </w:r>
      <w:proofErr w:type="spellStart"/>
      <w:r w:rsidRPr="00F547D3">
        <w:rPr>
          <w:rFonts w:ascii="Times New Roman" w:hAnsi="Times New Roman"/>
          <w:sz w:val="28"/>
          <w:szCs w:val="28"/>
        </w:rPr>
        <w:t>гипонатриемией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в результате интенсивной диуретической терапии, низкого потребления соли, диареи, рвоты или гемодиализа. Сниженный объем крови и </w:t>
      </w:r>
      <w:proofErr w:type="spellStart"/>
      <w:r w:rsidRPr="00F547D3">
        <w:rPr>
          <w:rFonts w:ascii="Times New Roman" w:hAnsi="Times New Roman"/>
          <w:sz w:val="28"/>
          <w:szCs w:val="28"/>
        </w:rPr>
        <w:t>гипонатриемию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необходимо скорректировать перед применением </w:t>
      </w:r>
      <w:proofErr w:type="spellStart"/>
      <w:r w:rsidRPr="00F547D3">
        <w:rPr>
          <w:rFonts w:ascii="Times New Roman" w:hAnsi="Times New Roman"/>
          <w:sz w:val="28"/>
          <w:szCs w:val="28"/>
        </w:rPr>
        <w:t>каптоприла</w:t>
      </w:r>
      <w:proofErr w:type="spellEnd"/>
      <w:r w:rsidRPr="00F547D3">
        <w:rPr>
          <w:rFonts w:ascii="Times New Roman" w:hAnsi="Times New Roman"/>
          <w:sz w:val="28"/>
          <w:szCs w:val="28"/>
        </w:rPr>
        <w:t>, при этом низкие стартовые дозы являются предпочтительными.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>Как и в случае любого гипотензивного средства, чрезмерное снижение артериального давления у пациентов с ишемической сердечно-сосудистой или цереброваскулярной болезнью может увеличить риск инфаркта миокарда или инсульта. При развитии гипотонии пациент должен находиться в положении лежа на спине. Может потребоваться увеличение объема с помощью внутривенного физиологического раствора.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547D3">
        <w:rPr>
          <w:rFonts w:ascii="Times New Roman" w:hAnsi="Times New Roman"/>
          <w:i/>
          <w:sz w:val="28"/>
          <w:szCs w:val="28"/>
        </w:rPr>
        <w:t>Двойная блокада ренин-</w:t>
      </w:r>
      <w:proofErr w:type="spellStart"/>
      <w:r w:rsidRPr="00F547D3">
        <w:rPr>
          <w:rFonts w:ascii="Times New Roman" w:hAnsi="Times New Roman"/>
          <w:i/>
          <w:sz w:val="28"/>
          <w:szCs w:val="28"/>
        </w:rPr>
        <w:t>ангиотензин</w:t>
      </w:r>
      <w:proofErr w:type="spellEnd"/>
      <w:r w:rsidRPr="00F547D3">
        <w:rPr>
          <w:rFonts w:ascii="Times New Roman" w:hAnsi="Times New Roman"/>
          <w:i/>
          <w:sz w:val="28"/>
          <w:szCs w:val="28"/>
        </w:rPr>
        <w:t>-</w:t>
      </w:r>
      <w:proofErr w:type="spellStart"/>
      <w:r w:rsidRPr="00F547D3">
        <w:rPr>
          <w:rFonts w:ascii="Times New Roman" w:hAnsi="Times New Roman"/>
          <w:i/>
          <w:sz w:val="28"/>
          <w:szCs w:val="28"/>
        </w:rPr>
        <w:t>альдостероновой</w:t>
      </w:r>
      <w:proofErr w:type="spellEnd"/>
      <w:r w:rsidRPr="00F547D3">
        <w:rPr>
          <w:rFonts w:ascii="Times New Roman" w:hAnsi="Times New Roman"/>
          <w:i/>
          <w:sz w:val="28"/>
          <w:szCs w:val="28"/>
        </w:rPr>
        <w:t xml:space="preserve"> системы (РААС)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Имеются данные о том, что одновременный прием ингибиторов АКФ, блокаторов рецепторов </w:t>
      </w:r>
      <w:proofErr w:type="spellStart"/>
      <w:r w:rsidRPr="00F547D3">
        <w:rPr>
          <w:rFonts w:ascii="Times New Roman" w:hAnsi="Times New Roman"/>
          <w:sz w:val="28"/>
          <w:szCs w:val="28"/>
        </w:rPr>
        <w:t>ангиотензина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II или </w:t>
      </w:r>
      <w:proofErr w:type="spellStart"/>
      <w:r w:rsidRPr="00F547D3">
        <w:rPr>
          <w:rFonts w:ascii="Times New Roman" w:hAnsi="Times New Roman"/>
          <w:sz w:val="28"/>
          <w:szCs w:val="28"/>
        </w:rPr>
        <w:t>алискирена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увеличивает риск гипотензии, </w:t>
      </w:r>
      <w:proofErr w:type="spellStart"/>
      <w:r w:rsidRPr="00F547D3">
        <w:rPr>
          <w:rFonts w:ascii="Times New Roman" w:hAnsi="Times New Roman"/>
          <w:sz w:val="28"/>
          <w:szCs w:val="28"/>
        </w:rPr>
        <w:t>гиперкалиемии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и нарушения функции почек (включая острую почечную недостаточность). Двойная блокада РААС с применением ингибиторов АКФ, блокаторов рецепторов </w:t>
      </w:r>
      <w:proofErr w:type="spellStart"/>
      <w:r w:rsidRPr="00F547D3">
        <w:rPr>
          <w:rFonts w:ascii="Times New Roman" w:hAnsi="Times New Roman"/>
          <w:sz w:val="28"/>
          <w:szCs w:val="28"/>
        </w:rPr>
        <w:t>ангиотензина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II (БРА II) или </w:t>
      </w:r>
      <w:proofErr w:type="spellStart"/>
      <w:r w:rsidRPr="00F547D3">
        <w:rPr>
          <w:rFonts w:ascii="Times New Roman" w:hAnsi="Times New Roman"/>
          <w:sz w:val="28"/>
          <w:szCs w:val="28"/>
        </w:rPr>
        <w:t>алискирена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не рекомендуется.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>В отдельных случаях, когда совместное применение ингибиторов АКФ и БРА II абсолютно показано, необходимо тщательное наблюдение специалиста и обязательный мониторинг функции почек, водно-электролитного баланса, артериального давления.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>Ингибиторы АКФ и БРА II не следует применять одновременно у пациентов с диабетической нефропатией.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547D3">
        <w:rPr>
          <w:rFonts w:ascii="Times New Roman" w:hAnsi="Times New Roman"/>
          <w:i/>
          <w:sz w:val="28"/>
          <w:szCs w:val="28"/>
        </w:rPr>
        <w:t>Реноваскулярная гипертензия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547D3">
        <w:rPr>
          <w:rStyle w:val="longtext"/>
          <w:rFonts w:ascii="Times New Roman" w:hAnsi="Times New Roman"/>
          <w:sz w:val="28"/>
          <w:szCs w:val="28"/>
        </w:rPr>
        <w:t xml:space="preserve">У некоторых пациентов с двусторонним стенозом почечных артерий или стенозом артерии единственной почки при назначении ингибиторов АКФ присутствует повышенный риск развития гипотензии и почечной недостаточности. Почечная недостаточность может развиться даже при незначительных изменениях уровня сывороточного креатинина. У этих </w:t>
      </w:r>
      <w:r w:rsidRPr="00F547D3">
        <w:rPr>
          <w:rStyle w:val="longtext"/>
          <w:rFonts w:ascii="Times New Roman" w:hAnsi="Times New Roman"/>
          <w:sz w:val="28"/>
          <w:szCs w:val="28"/>
        </w:rPr>
        <w:lastRenderedPageBreak/>
        <w:t>пациентов, лечение должно быть начато под пристальным медицинским наблюдением со снижением дозы, поэтому в таких случаях следует проводить регулярный мониторинг функции почек во время терапии.</w:t>
      </w:r>
    </w:p>
    <w:p w:rsidR="006B04E7" w:rsidRPr="00F547D3" w:rsidRDefault="006B04E7" w:rsidP="006B04E7">
      <w:pPr>
        <w:spacing w:after="0" w:line="240" w:lineRule="auto"/>
        <w:jc w:val="both"/>
        <w:rPr>
          <w:rStyle w:val="longtext"/>
          <w:rFonts w:ascii="Times New Roman" w:hAnsi="Times New Roman"/>
          <w:sz w:val="28"/>
          <w:szCs w:val="28"/>
        </w:rPr>
      </w:pPr>
      <w:r w:rsidRPr="00F547D3">
        <w:rPr>
          <w:rStyle w:val="longtext"/>
          <w:rFonts w:ascii="Times New Roman" w:hAnsi="Times New Roman"/>
          <w:i/>
          <w:sz w:val="28"/>
          <w:szCs w:val="28"/>
        </w:rPr>
        <w:t>Ангионевротический отек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Style w:val="longtext"/>
          <w:rFonts w:ascii="Times New Roman" w:hAnsi="Times New Roman"/>
          <w:sz w:val="28"/>
          <w:szCs w:val="28"/>
        </w:rPr>
        <w:t xml:space="preserve">Ангионевротический отек </w:t>
      </w:r>
      <w:r w:rsidRPr="00F547D3">
        <w:rPr>
          <w:rFonts w:ascii="Times New Roman" w:hAnsi="Times New Roman"/>
          <w:sz w:val="28"/>
          <w:szCs w:val="28"/>
        </w:rPr>
        <w:t xml:space="preserve">конечностей, лица, губ, слизистых оболочек, языка, глотки или гортани может возникать у пациентов, принимавших ингибиторы АКФ, включая каптоприл. Это может произойти в любое время лечения в любой момент времени. В редких случаях, тяжелый ангионевротический отек может развиться и после длительного лечения ингибитором АКФ. В таких случаях следует незамедлительно прекратить приема препарата и установить соответствующее наблюдение за пациентом до тех пор, пока симптомы ангионевротического отека не будут полностью устранены. В тех случаях, когда область отека ограничивается лицом и губами, состояние обычно нормализуется без лечения, хотя для облегчения симптомов можно принимать антигистаминные препараты. 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>Ангионевротический отек языка, голосовой щели или гортани может быть фатальным. При отеке в области языка, глотки или гортани, который может вызвать обструкцию дыхательных путей, следует назначить соответствующее лечение, которое может включать подкожное введение раствора адреналина 1: 1000 (от 0,3 мл до 0,5 мл) и / или принятие необходимых мер по обеспечению проходимости дыхательных путей. Пациент должен быть немедленно госпитализирован и находиться под наблюдением, как минимум, в течение 12-24 часов до полного исчезновения симптомов отека.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>Имеются сведения о том, что у пациентов, имеющих черный цвет кожи, принимавших ингибиторы АКФ, наблюдается более высокая частота возникновения ангионевротического отека по сравнению с пациентами с другим цветом кожи.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Пациенты с ангионевротическим отеком в анамнезе, не связанным с терапией ингибиторами АКФ, подвергаются повышенному риску возникновения ангионевротического отека при приеме ингибитора АКФ. 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Имеются сведения о редких случаях появления ангионевротического отека кишечника у пациентов, принимавших ингибиторы АКФ. Такие пациенты жаловались на боль в области живота, которая сопровождалась или не сопровождалась тошнотой или рвотой; в некоторых случаях не было предшествующего ангионевротического отека лица и уровни С-1-эстеразы были в норме. Наличие ангионевротического отека было диагностировано с помощью соответствующих процедур, включая внутрибрюшную компьютерную томографию, и УЗИ, а также при хирургическом вмешательстве. Симптомы устранялись после отмены ингибитора АКФ. Ангионевротический отек кишечника должен быть включен в дифференциальную диагностику пациентов с болью в области живота, принимающих ингибиторы АКФ. 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47D3">
        <w:rPr>
          <w:rFonts w:ascii="Times New Roman" w:hAnsi="Times New Roman"/>
          <w:i/>
          <w:sz w:val="28"/>
          <w:szCs w:val="28"/>
        </w:rPr>
        <w:t>Кашель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lastRenderedPageBreak/>
        <w:t>При приеме ингибиторов АКФ часто отмечается характерный кашель. Как правило, кашель носит непродуктивный, постоянный характер и прекращается после отмены препарата.</w:t>
      </w:r>
    </w:p>
    <w:p w:rsidR="006B04E7" w:rsidRPr="00F547D3" w:rsidRDefault="006B04E7" w:rsidP="006B04E7">
      <w:pPr>
        <w:spacing w:after="0" w:line="240" w:lineRule="auto"/>
        <w:jc w:val="both"/>
        <w:rPr>
          <w:rStyle w:val="longtext"/>
          <w:rFonts w:ascii="Times New Roman" w:hAnsi="Times New Roman"/>
          <w:b/>
          <w:sz w:val="28"/>
          <w:szCs w:val="28"/>
        </w:rPr>
      </w:pPr>
      <w:r w:rsidRPr="00F547D3">
        <w:rPr>
          <w:rStyle w:val="longtext"/>
          <w:rFonts w:ascii="Times New Roman" w:hAnsi="Times New Roman"/>
          <w:i/>
          <w:sz w:val="28"/>
          <w:szCs w:val="28"/>
        </w:rPr>
        <w:t>Печеночная недостаточность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Очень редко ингибиторы АКФ вызывают </w:t>
      </w:r>
      <w:proofErr w:type="spellStart"/>
      <w:r w:rsidRPr="00F547D3">
        <w:rPr>
          <w:rFonts w:ascii="Times New Roman" w:hAnsi="Times New Roman"/>
          <w:sz w:val="28"/>
          <w:szCs w:val="28"/>
        </w:rPr>
        <w:t>холестатическую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желтуху или гепатит, которые прогрессируют до молниеносного некроза и (иногда) смерти. Механизм этого синдрома не ясен. Пациенты, получающие ингибиторы АКФ, у которых развивается желтуха или выраженное повышение активности печеночных ферментов, должны прекратить прием ингибиторов АКФ и находиться под соответствующим медицинским наблюдением.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547D3">
        <w:rPr>
          <w:rFonts w:ascii="Times New Roman" w:hAnsi="Times New Roman"/>
          <w:i/>
          <w:sz w:val="28"/>
          <w:szCs w:val="28"/>
        </w:rPr>
        <w:t>Гиперкалиемия</w:t>
      </w:r>
      <w:proofErr w:type="spellEnd"/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>Повышение уровня калия в сыворотке крови наблюдалось у некоторых пациентов, получавших ингибиторы АКФ, включая каптоприл.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Пациенты с риском развития </w:t>
      </w:r>
      <w:proofErr w:type="spellStart"/>
      <w:r w:rsidRPr="00F547D3">
        <w:rPr>
          <w:rFonts w:ascii="Times New Roman" w:hAnsi="Times New Roman"/>
          <w:sz w:val="28"/>
          <w:szCs w:val="28"/>
        </w:rPr>
        <w:t>гиперкалиемии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включают пациентов с почечной недостаточностью, сахарным диабетом или тех, кто одновременно принимает калийсберегающие диуретики, калиевые добавки или калийсодержащие заменители соли; или те пациенты, которые принимают другие препараты, связанные с повышением уровня калия в сыворотке (например, гепарин).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>Если сопутствующее применение вышеуказанных препаратов считается целесообразным, рекомендуется регулярный контроль уровня калия в сыворотке крови.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47D3">
        <w:rPr>
          <w:rFonts w:ascii="Times New Roman" w:hAnsi="Times New Roman"/>
          <w:i/>
          <w:sz w:val="28"/>
          <w:szCs w:val="28"/>
        </w:rPr>
        <w:t xml:space="preserve">Стеноз аортального, митрального клапанов, </w:t>
      </w:r>
      <w:proofErr w:type="spellStart"/>
      <w:r w:rsidRPr="00F547D3">
        <w:rPr>
          <w:rFonts w:ascii="Times New Roman" w:hAnsi="Times New Roman"/>
          <w:i/>
          <w:sz w:val="28"/>
          <w:szCs w:val="28"/>
        </w:rPr>
        <w:t>обструктивная</w:t>
      </w:r>
      <w:proofErr w:type="spellEnd"/>
      <w:r w:rsidRPr="00F547D3">
        <w:rPr>
          <w:rFonts w:ascii="Times New Roman" w:hAnsi="Times New Roman"/>
          <w:i/>
          <w:sz w:val="28"/>
          <w:szCs w:val="28"/>
        </w:rPr>
        <w:t xml:space="preserve"> гипертрофическая </w:t>
      </w:r>
      <w:proofErr w:type="spellStart"/>
      <w:r w:rsidRPr="00F547D3">
        <w:rPr>
          <w:rFonts w:ascii="Times New Roman" w:hAnsi="Times New Roman"/>
          <w:i/>
          <w:sz w:val="28"/>
          <w:szCs w:val="28"/>
        </w:rPr>
        <w:t>кардиомиопатия</w:t>
      </w:r>
      <w:proofErr w:type="spellEnd"/>
      <w:r w:rsidRPr="00F547D3">
        <w:rPr>
          <w:rFonts w:ascii="Times New Roman" w:hAnsi="Times New Roman"/>
          <w:i/>
          <w:sz w:val="28"/>
          <w:szCs w:val="28"/>
        </w:rPr>
        <w:t>, кардиогенный шок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>Ингибиторы АКФ следует с осторожностью назначать пациентам со стенозом митрального и аортального клапанов, обструкцией оттока из левого желудочка и избегать их назначения при кардиогенном шоке и при выраженной гемодинамической обструкции.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547D3">
        <w:rPr>
          <w:rFonts w:ascii="Times New Roman" w:hAnsi="Times New Roman"/>
          <w:i/>
          <w:sz w:val="28"/>
          <w:szCs w:val="28"/>
        </w:rPr>
        <w:t>Нейтропения</w:t>
      </w:r>
      <w:proofErr w:type="spellEnd"/>
      <w:r w:rsidRPr="00F547D3">
        <w:rPr>
          <w:rFonts w:ascii="Times New Roman" w:hAnsi="Times New Roman"/>
          <w:i/>
          <w:sz w:val="28"/>
          <w:szCs w:val="28"/>
        </w:rPr>
        <w:t xml:space="preserve"> / </w:t>
      </w:r>
      <w:proofErr w:type="spellStart"/>
      <w:r w:rsidRPr="00F547D3">
        <w:rPr>
          <w:rFonts w:ascii="Times New Roman" w:hAnsi="Times New Roman"/>
          <w:i/>
          <w:sz w:val="28"/>
          <w:szCs w:val="28"/>
        </w:rPr>
        <w:t>агранулоцитоз</w:t>
      </w:r>
      <w:proofErr w:type="spellEnd"/>
      <w:r w:rsidRPr="00F547D3">
        <w:rPr>
          <w:rFonts w:ascii="Times New Roman" w:hAnsi="Times New Roman"/>
          <w:i/>
          <w:sz w:val="28"/>
          <w:szCs w:val="28"/>
        </w:rPr>
        <w:t xml:space="preserve"> </w:t>
      </w:r>
    </w:p>
    <w:p w:rsidR="006B04E7" w:rsidRPr="00F547D3" w:rsidRDefault="006B04E7" w:rsidP="006B04E7">
      <w:pPr>
        <w:spacing w:after="0" w:line="240" w:lineRule="auto"/>
        <w:jc w:val="both"/>
        <w:rPr>
          <w:rStyle w:val="tlid-translation"/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Возможно развитие </w:t>
      </w:r>
      <w:proofErr w:type="spellStart"/>
      <w:r w:rsidRPr="00F547D3">
        <w:rPr>
          <w:rFonts w:ascii="Times New Roman" w:hAnsi="Times New Roman"/>
          <w:sz w:val="28"/>
          <w:szCs w:val="28"/>
        </w:rPr>
        <w:t>н</w:t>
      </w:r>
      <w:r w:rsidRPr="00F547D3">
        <w:rPr>
          <w:rStyle w:val="tlid-translation"/>
          <w:rFonts w:ascii="Times New Roman" w:hAnsi="Times New Roman"/>
          <w:sz w:val="28"/>
          <w:szCs w:val="28"/>
        </w:rPr>
        <w:t>ейтропении</w:t>
      </w:r>
      <w:proofErr w:type="spellEnd"/>
      <w:r w:rsidRPr="00F547D3">
        <w:rPr>
          <w:rStyle w:val="tlid-translation"/>
          <w:rFonts w:ascii="Times New Roman" w:hAnsi="Times New Roman"/>
          <w:sz w:val="28"/>
          <w:szCs w:val="28"/>
        </w:rPr>
        <w:t xml:space="preserve">, </w:t>
      </w:r>
      <w:proofErr w:type="spellStart"/>
      <w:r w:rsidRPr="00F547D3">
        <w:rPr>
          <w:rStyle w:val="tlid-translation"/>
          <w:rFonts w:ascii="Times New Roman" w:hAnsi="Times New Roman"/>
          <w:sz w:val="28"/>
          <w:szCs w:val="28"/>
        </w:rPr>
        <w:t>агранулоцитоза</w:t>
      </w:r>
      <w:proofErr w:type="spellEnd"/>
      <w:r w:rsidRPr="00F547D3">
        <w:rPr>
          <w:rStyle w:val="tlid-translation"/>
          <w:rFonts w:ascii="Times New Roman" w:hAnsi="Times New Roman"/>
          <w:sz w:val="28"/>
          <w:szCs w:val="28"/>
        </w:rPr>
        <w:t xml:space="preserve">, тромбоцитопении и анемии </w:t>
      </w:r>
      <w:r w:rsidRPr="00F547D3">
        <w:rPr>
          <w:rFonts w:ascii="Times New Roman" w:hAnsi="Times New Roman"/>
          <w:sz w:val="28"/>
          <w:szCs w:val="28"/>
        </w:rPr>
        <w:t>во время лечения ингибиторами АКФ, включая каптоприл</w:t>
      </w:r>
      <w:r w:rsidRPr="00F547D3">
        <w:rPr>
          <w:rStyle w:val="tlid-translation"/>
          <w:rFonts w:ascii="Times New Roman" w:hAnsi="Times New Roman"/>
          <w:sz w:val="28"/>
          <w:szCs w:val="28"/>
        </w:rPr>
        <w:t xml:space="preserve">. У пациентов с нормальной функцией почек и отсутствием других осложняющих факторов </w:t>
      </w:r>
      <w:proofErr w:type="spellStart"/>
      <w:r w:rsidRPr="00F547D3">
        <w:rPr>
          <w:rStyle w:val="tlid-translation"/>
          <w:rFonts w:ascii="Times New Roman" w:hAnsi="Times New Roman"/>
          <w:sz w:val="28"/>
          <w:szCs w:val="28"/>
        </w:rPr>
        <w:t>нейтропения</w:t>
      </w:r>
      <w:proofErr w:type="spellEnd"/>
      <w:r w:rsidRPr="00F547D3">
        <w:rPr>
          <w:rStyle w:val="tlid-translation"/>
          <w:rFonts w:ascii="Times New Roman" w:hAnsi="Times New Roman"/>
          <w:sz w:val="28"/>
          <w:szCs w:val="28"/>
        </w:rPr>
        <w:t xml:space="preserve"> встречается редко. Каптоприл следует использовать с особой осторожностью у пациентов с коллагеновыми сосудистыми заболеваниями, иммунодепрессивной терапией, лечением </w:t>
      </w:r>
      <w:proofErr w:type="spellStart"/>
      <w:r w:rsidRPr="00F547D3">
        <w:rPr>
          <w:rStyle w:val="tlid-translation"/>
          <w:rFonts w:ascii="Times New Roman" w:hAnsi="Times New Roman"/>
          <w:sz w:val="28"/>
          <w:szCs w:val="28"/>
        </w:rPr>
        <w:t>аллопуринолом</w:t>
      </w:r>
      <w:proofErr w:type="spellEnd"/>
      <w:r w:rsidRPr="00F547D3">
        <w:rPr>
          <w:rStyle w:val="tlid-translation"/>
          <w:rFonts w:ascii="Times New Roman" w:hAnsi="Times New Roman"/>
          <w:sz w:val="28"/>
          <w:szCs w:val="28"/>
        </w:rPr>
        <w:t xml:space="preserve"> или </w:t>
      </w:r>
      <w:proofErr w:type="spellStart"/>
      <w:r w:rsidRPr="00F547D3">
        <w:rPr>
          <w:rStyle w:val="tlid-translation"/>
          <w:rFonts w:ascii="Times New Roman" w:hAnsi="Times New Roman"/>
          <w:sz w:val="28"/>
          <w:szCs w:val="28"/>
        </w:rPr>
        <w:t>прокаинамидом</w:t>
      </w:r>
      <w:proofErr w:type="spellEnd"/>
      <w:r w:rsidRPr="00F547D3">
        <w:rPr>
          <w:rStyle w:val="tlid-translation"/>
          <w:rFonts w:ascii="Times New Roman" w:hAnsi="Times New Roman"/>
          <w:sz w:val="28"/>
          <w:szCs w:val="28"/>
        </w:rPr>
        <w:t xml:space="preserve"> или комбинацией этих осложняющих факторов, особенно при наличии ранее нарушенной функции почек. У некоторых из этих пациентов развились серьезные инфекции, которые в некоторых случаях не реагировали на интенсивную терапию антибиотиками. 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Style w:val="longtext"/>
          <w:rFonts w:ascii="Times New Roman" w:hAnsi="Times New Roman"/>
          <w:sz w:val="28"/>
          <w:szCs w:val="28"/>
        </w:rPr>
        <w:t xml:space="preserve">При использовании </w:t>
      </w:r>
      <w:proofErr w:type="spellStart"/>
      <w:r w:rsidRPr="00F547D3">
        <w:rPr>
          <w:rStyle w:val="longtext"/>
          <w:rFonts w:ascii="Times New Roman" w:hAnsi="Times New Roman"/>
          <w:sz w:val="28"/>
          <w:szCs w:val="28"/>
        </w:rPr>
        <w:t>каптоприла</w:t>
      </w:r>
      <w:proofErr w:type="spellEnd"/>
      <w:r w:rsidRPr="00F547D3">
        <w:rPr>
          <w:rStyle w:val="longtext"/>
          <w:rFonts w:ascii="Times New Roman" w:hAnsi="Times New Roman"/>
          <w:sz w:val="28"/>
          <w:szCs w:val="28"/>
        </w:rPr>
        <w:t xml:space="preserve"> у таких пациентов рекомендуется контроль уровня лейкоцитов в крови до начала лечения, затем каждые 2 недели в течение первых 3 месяцев приема препарата и периодически в дальнейшем. </w:t>
      </w:r>
      <w:r w:rsidRPr="00F547D3">
        <w:rPr>
          <w:rFonts w:ascii="Times New Roman" w:hAnsi="Times New Roman"/>
          <w:sz w:val="28"/>
          <w:szCs w:val="28"/>
        </w:rPr>
        <w:t xml:space="preserve">Во время лечения все пациенты должны быть </w:t>
      </w:r>
      <w:r w:rsidRPr="00F547D3">
        <w:rPr>
          <w:rFonts w:ascii="Times New Roman" w:hAnsi="Times New Roman"/>
          <w:sz w:val="28"/>
          <w:szCs w:val="28"/>
        </w:rPr>
        <w:lastRenderedPageBreak/>
        <w:t xml:space="preserve">проинструктированы о необходимости сообщать о любых признаках инфекции (например, боль в горле, повышение температуры) при дифференциальном подсчете лейкоцитов. 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Каптоприл и другие сопутствующие препараты следует отменить, если имеется или подозревается </w:t>
      </w:r>
      <w:proofErr w:type="spellStart"/>
      <w:r w:rsidRPr="00F547D3">
        <w:rPr>
          <w:rFonts w:ascii="Times New Roman" w:hAnsi="Times New Roman"/>
          <w:sz w:val="28"/>
          <w:szCs w:val="28"/>
        </w:rPr>
        <w:t>нейтропения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(нейтрофилы менее 1000/мм</w:t>
      </w:r>
      <w:r w:rsidRPr="00F547D3">
        <w:rPr>
          <w:rFonts w:ascii="Times New Roman" w:hAnsi="Times New Roman"/>
          <w:sz w:val="28"/>
          <w:szCs w:val="28"/>
          <w:vertAlign w:val="superscript"/>
        </w:rPr>
        <w:t>3</w:t>
      </w:r>
      <w:r w:rsidRPr="00F547D3">
        <w:rPr>
          <w:rFonts w:ascii="Times New Roman" w:hAnsi="Times New Roman"/>
          <w:sz w:val="28"/>
          <w:szCs w:val="28"/>
        </w:rPr>
        <w:t xml:space="preserve">). 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У большинства пациентов количество нейтрофилов быстро возвращается к норме при прекращении приема </w:t>
      </w:r>
      <w:proofErr w:type="spellStart"/>
      <w:r w:rsidRPr="00F547D3">
        <w:rPr>
          <w:rFonts w:ascii="Times New Roman" w:hAnsi="Times New Roman"/>
          <w:sz w:val="28"/>
          <w:szCs w:val="28"/>
        </w:rPr>
        <w:t>каптоприла</w:t>
      </w:r>
      <w:proofErr w:type="spellEnd"/>
      <w:r w:rsidRPr="00F547D3">
        <w:rPr>
          <w:rFonts w:ascii="Times New Roman" w:hAnsi="Times New Roman"/>
          <w:sz w:val="28"/>
          <w:szCs w:val="28"/>
        </w:rPr>
        <w:t>.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547D3">
        <w:rPr>
          <w:rFonts w:ascii="Times New Roman" w:hAnsi="Times New Roman"/>
          <w:i/>
          <w:sz w:val="28"/>
          <w:szCs w:val="28"/>
        </w:rPr>
        <w:t>Протеинурия</w:t>
      </w:r>
    </w:p>
    <w:p w:rsidR="006B04E7" w:rsidRPr="00F547D3" w:rsidRDefault="006B04E7" w:rsidP="006B04E7">
      <w:pPr>
        <w:spacing w:after="0" w:line="240" w:lineRule="auto"/>
        <w:jc w:val="both"/>
        <w:rPr>
          <w:rStyle w:val="longtext"/>
          <w:rFonts w:ascii="Times New Roman" w:hAnsi="Times New Roman"/>
          <w:sz w:val="28"/>
          <w:szCs w:val="28"/>
        </w:rPr>
      </w:pPr>
      <w:r w:rsidRPr="00F547D3">
        <w:rPr>
          <w:rStyle w:val="longtext"/>
          <w:rFonts w:ascii="Times New Roman" w:hAnsi="Times New Roman"/>
          <w:sz w:val="28"/>
          <w:szCs w:val="28"/>
        </w:rPr>
        <w:t xml:space="preserve">Протеинурия может появиться у пациентов с почечной недостаточностью или в ответ на высокие дозы ингибиторов АКФ. Содержание общего белка в моче, превышающее 1 г. в день, регистрировали примерно у 0,7% пациентов, получающих каптоприл. У большинства пациентов были признаки предшествующего заболевания почек, или они получали относительно высокие дозы </w:t>
      </w:r>
      <w:proofErr w:type="spellStart"/>
      <w:r w:rsidRPr="00F547D3">
        <w:rPr>
          <w:rStyle w:val="longtext"/>
          <w:rFonts w:ascii="Times New Roman" w:hAnsi="Times New Roman"/>
          <w:sz w:val="28"/>
          <w:szCs w:val="28"/>
        </w:rPr>
        <w:t>каптоприла</w:t>
      </w:r>
      <w:proofErr w:type="spellEnd"/>
      <w:r w:rsidRPr="00F547D3">
        <w:rPr>
          <w:rStyle w:val="longtext"/>
          <w:rFonts w:ascii="Times New Roman" w:hAnsi="Times New Roman"/>
          <w:sz w:val="28"/>
          <w:szCs w:val="28"/>
        </w:rPr>
        <w:t xml:space="preserve"> (более 150 мг/сутки), или и то, и другое.</w:t>
      </w:r>
    </w:p>
    <w:p w:rsidR="006B04E7" w:rsidRPr="00F547D3" w:rsidRDefault="006B04E7" w:rsidP="006B04E7">
      <w:pPr>
        <w:spacing w:after="0" w:line="240" w:lineRule="auto"/>
        <w:jc w:val="both"/>
        <w:rPr>
          <w:rStyle w:val="longtext"/>
          <w:rFonts w:ascii="Times New Roman" w:hAnsi="Times New Roman"/>
          <w:sz w:val="28"/>
          <w:szCs w:val="28"/>
        </w:rPr>
      </w:pPr>
      <w:r w:rsidRPr="00F547D3">
        <w:rPr>
          <w:rStyle w:val="longtext"/>
          <w:rFonts w:ascii="Times New Roman" w:hAnsi="Times New Roman"/>
          <w:sz w:val="28"/>
          <w:szCs w:val="28"/>
        </w:rPr>
        <w:t xml:space="preserve">Нефротический синдром возникает у 1/5 пациентов с протеинурией. В большинстве случаев протеинурия уменьшается или исчезает через 6 месяцев вне зависимости от приема </w:t>
      </w:r>
      <w:proofErr w:type="spellStart"/>
      <w:r w:rsidRPr="00F547D3">
        <w:rPr>
          <w:rStyle w:val="longtext"/>
          <w:rFonts w:ascii="Times New Roman" w:hAnsi="Times New Roman"/>
          <w:sz w:val="28"/>
          <w:szCs w:val="28"/>
        </w:rPr>
        <w:t>каптоприла</w:t>
      </w:r>
      <w:proofErr w:type="spellEnd"/>
      <w:r w:rsidRPr="00F547D3">
        <w:rPr>
          <w:rStyle w:val="longtext"/>
          <w:rFonts w:ascii="Times New Roman" w:hAnsi="Times New Roman"/>
          <w:sz w:val="28"/>
          <w:szCs w:val="28"/>
        </w:rPr>
        <w:t xml:space="preserve">. Параметры функции почек, такие как содержание азота мочевины крови и </w:t>
      </w:r>
      <w:proofErr w:type="spellStart"/>
      <w:r w:rsidRPr="00F547D3">
        <w:rPr>
          <w:rStyle w:val="longtext"/>
          <w:rFonts w:ascii="Times New Roman" w:hAnsi="Times New Roman"/>
          <w:sz w:val="28"/>
          <w:szCs w:val="28"/>
        </w:rPr>
        <w:t>креатинин</w:t>
      </w:r>
      <w:proofErr w:type="spellEnd"/>
      <w:r w:rsidRPr="00F547D3">
        <w:rPr>
          <w:rStyle w:val="longtext"/>
          <w:rFonts w:ascii="Times New Roman" w:hAnsi="Times New Roman"/>
          <w:sz w:val="28"/>
          <w:szCs w:val="28"/>
        </w:rPr>
        <w:t xml:space="preserve">, редко изменялись у пациентов с протеинурией. </w:t>
      </w:r>
    </w:p>
    <w:p w:rsidR="006B04E7" w:rsidRPr="00F547D3" w:rsidRDefault="006B04E7" w:rsidP="006B04E7">
      <w:pPr>
        <w:spacing w:after="0" w:line="240" w:lineRule="auto"/>
        <w:jc w:val="both"/>
        <w:rPr>
          <w:rStyle w:val="longtext"/>
          <w:rFonts w:ascii="Times New Roman" w:hAnsi="Times New Roman"/>
          <w:sz w:val="28"/>
          <w:szCs w:val="28"/>
        </w:rPr>
      </w:pPr>
      <w:r w:rsidRPr="00F547D3">
        <w:rPr>
          <w:rStyle w:val="longtext"/>
          <w:rFonts w:ascii="Times New Roman" w:hAnsi="Times New Roman"/>
          <w:sz w:val="28"/>
          <w:szCs w:val="28"/>
        </w:rPr>
        <w:t>У пациентов с сопутствующим заболеванием почек необходимо оценивать содержание белка в моче (анализ с помощью тест-полоски в первой порции утренней мочи) до начала лечения и периодически после него.</w:t>
      </w:r>
    </w:p>
    <w:p w:rsidR="006B04E7" w:rsidRPr="00F547D3" w:rsidRDefault="006B04E7" w:rsidP="006B04E7">
      <w:pPr>
        <w:spacing w:after="0" w:line="240" w:lineRule="auto"/>
        <w:jc w:val="both"/>
        <w:rPr>
          <w:rStyle w:val="longtext"/>
          <w:rFonts w:ascii="Times New Roman" w:hAnsi="Times New Roman"/>
          <w:sz w:val="28"/>
          <w:szCs w:val="28"/>
        </w:rPr>
      </w:pPr>
      <w:r w:rsidRPr="00F547D3">
        <w:rPr>
          <w:rStyle w:val="longtext"/>
          <w:rFonts w:ascii="Times New Roman" w:hAnsi="Times New Roman"/>
          <w:sz w:val="28"/>
          <w:szCs w:val="28"/>
        </w:rPr>
        <w:t xml:space="preserve">Хотя мембранозная </w:t>
      </w:r>
      <w:proofErr w:type="spellStart"/>
      <w:r w:rsidRPr="00F547D3">
        <w:rPr>
          <w:rStyle w:val="longtext"/>
          <w:rFonts w:ascii="Times New Roman" w:hAnsi="Times New Roman"/>
          <w:sz w:val="28"/>
          <w:szCs w:val="28"/>
        </w:rPr>
        <w:t>гломерулопатия</w:t>
      </w:r>
      <w:proofErr w:type="spellEnd"/>
      <w:r w:rsidRPr="00F547D3">
        <w:rPr>
          <w:rStyle w:val="longtext"/>
          <w:rFonts w:ascii="Times New Roman" w:hAnsi="Times New Roman"/>
          <w:sz w:val="28"/>
          <w:szCs w:val="28"/>
        </w:rPr>
        <w:t xml:space="preserve"> была обнаружена в </w:t>
      </w:r>
      <w:proofErr w:type="spellStart"/>
      <w:r w:rsidRPr="00F547D3">
        <w:rPr>
          <w:rStyle w:val="longtext"/>
          <w:rFonts w:ascii="Times New Roman" w:hAnsi="Times New Roman"/>
          <w:sz w:val="28"/>
          <w:szCs w:val="28"/>
        </w:rPr>
        <w:t>биоптатах</w:t>
      </w:r>
      <w:proofErr w:type="spellEnd"/>
      <w:r w:rsidRPr="00F547D3">
        <w:rPr>
          <w:rStyle w:val="longtext"/>
          <w:rFonts w:ascii="Times New Roman" w:hAnsi="Times New Roman"/>
          <w:sz w:val="28"/>
          <w:szCs w:val="28"/>
        </w:rPr>
        <w:t xml:space="preserve">, взятых у некоторых пациентов с протеинурией, причинно-следственная связь с </w:t>
      </w:r>
      <w:proofErr w:type="spellStart"/>
      <w:r w:rsidRPr="00F547D3">
        <w:rPr>
          <w:rStyle w:val="longtext"/>
          <w:rFonts w:ascii="Times New Roman" w:hAnsi="Times New Roman"/>
          <w:sz w:val="28"/>
          <w:szCs w:val="28"/>
        </w:rPr>
        <w:t>каптоприлом</w:t>
      </w:r>
      <w:proofErr w:type="spellEnd"/>
      <w:r w:rsidRPr="00F547D3">
        <w:rPr>
          <w:rStyle w:val="longtext"/>
          <w:rFonts w:ascii="Times New Roman" w:hAnsi="Times New Roman"/>
          <w:sz w:val="28"/>
          <w:szCs w:val="28"/>
        </w:rPr>
        <w:t xml:space="preserve"> не установлена.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F547D3">
        <w:rPr>
          <w:rFonts w:ascii="Times New Roman" w:hAnsi="Times New Roman"/>
          <w:i/>
          <w:iCs/>
          <w:sz w:val="28"/>
          <w:szCs w:val="28"/>
        </w:rPr>
        <w:t>Анафилактоидные</w:t>
      </w:r>
      <w:proofErr w:type="spellEnd"/>
      <w:r w:rsidRPr="00F547D3">
        <w:rPr>
          <w:rFonts w:ascii="Times New Roman" w:hAnsi="Times New Roman"/>
          <w:i/>
          <w:iCs/>
          <w:sz w:val="28"/>
          <w:szCs w:val="28"/>
        </w:rPr>
        <w:t xml:space="preserve"> реакции во время проведения десенсибилизации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>Угрожающие жизни анафилактические реакции отмечаются редко у пациентов, которым проводится десенсибилизирующая терапия с ядом перепончатокрылых насекомых на фоне приема ингибиторов АКФ. Развитие этих реакций удается избежать, если при десенсибилизации временно отменяют каптоприл. В связи с этим следует проявлять осторожность при проведении десенсибилизации на фоне приема каптоприл.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F547D3">
        <w:rPr>
          <w:rFonts w:ascii="Times New Roman" w:hAnsi="Times New Roman"/>
          <w:i/>
          <w:iCs/>
          <w:sz w:val="28"/>
          <w:szCs w:val="28"/>
        </w:rPr>
        <w:t>Анафилактоидные</w:t>
      </w:r>
      <w:proofErr w:type="spellEnd"/>
      <w:r w:rsidRPr="00F547D3">
        <w:rPr>
          <w:rFonts w:ascii="Times New Roman" w:hAnsi="Times New Roman"/>
          <w:i/>
          <w:iCs/>
          <w:sz w:val="28"/>
          <w:szCs w:val="28"/>
        </w:rPr>
        <w:t xml:space="preserve"> реакции во время высокопрочного диализа/</w:t>
      </w:r>
      <w:proofErr w:type="spellStart"/>
      <w:r w:rsidRPr="00F547D3">
        <w:rPr>
          <w:rFonts w:ascii="Times New Roman" w:hAnsi="Times New Roman"/>
          <w:i/>
          <w:iCs/>
          <w:sz w:val="28"/>
          <w:szCs w:val="28"/>
        </w:rPr>
        <w:t>аферез</w:t>
      </w:r>
      <w:proofErr w:type="spellEnd"/>
      <w:r w:rsidRPr="00F547D3">
        <w:rPr>
          <w:rFonts w:ascii="Times New Roman" w:hAnsi="Times New Roman"/>
          <w:i/>
          <w:iCs/>
          <w:sz w:val="28"/>
          <w:szCs w:val="28"/>
        </w:rPr>
        <w:t xml:space="preserve"> липопротеинов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F547D3">
        <w:rPr>
          <w:rFonts w:ascii="Times New Roman" w:hAnsi="Times New Roman"/>
          <w:iCs/>
          <w:sz w:val="28"/>
          <w:szCs w:val="28"/>
        </w:rPr>
        <w:t xml:space="preserve">Были сообщения о возникновении анафилактических реакций у пациентов, находящихся на гемодиализе с высокопроницаемыми диализными мембранами или подвергающихся </w:t>
      </w:r>
      <w:proofErr w:type="spellStart"/>
      <w:r w:rsidRPr="00F547D3">
        <w:rPr>
          <w:rFonts w:ascii="Times New Roman" w:hAnsi="Times New Roman"/>
          <w:iCs/>
          <w:sz w:val="28"/>
          <w:szCs w:val="28"/>
        </w:rPr>
        <w:t>аферезу</w:t>
      </w:r>
      <w:proofErr w:type="spellEnd"/>
      <w:r w:rsidRPr="00F547D3">
        <w:rPr>
          <w:rFonts w:ascii="Times New Roman" w:hAnsi="Times New Roman"/>
          <w:iCs/>
          <w:sz w:val="28"/>
          <w:szCs w:val="28"/>
        </w:rPr>
        <w:t xml:space="preserve"> липопротеинов низкой плотности с абсорбцией сульфата декстрана. У таких пациентов следует рассмотреть возможность использования другого типа диализной мембраны или препаратов другой группы.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547D3">
        <w:rPr>
          <w:rFonts w:ascii="Times New Roman" w:hAnsi="Times New Roman"/>
          <w:i/>
          <w:sz w:val="28"/>
          <w:szCs w:val="28"/>
        </w:rPr>
        <w:t>Хирургия / анестезия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Гипотензия может возникать у пациентов, перенесших серьезные операции или во время лечения анестетиками, которые, как известно, снижают </w:t>
      </w:r>
      <w:r w:rsidRPr="00F547D3">
        <w:rPr>
          <w:rFonts w:ascii="Times New Roman" w:hAnsi="Times New Roman"/>
          <w:sz w:val="28"/>
          <w:szCs w:val="28"/>
        </w:rPr>
        <w:lastRenderedPageBreak/>
        <w:t xml:space="preserve">артериальное давление. Гипотония может быть устранена коррекцией циркулирующего объема крови. 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547D3">
        <w:rPr>
          <w:rFonts w:ascii="Times New Roman" w:hAnsi="Times New Roman"/>
          <w:i/>
          <w:sz w:val="28"/>
          <w:szCs w:val="28"/>
        </w:rPr>
        <w:t>Сахарный диабет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>У пациентов с сахарным диабетом, получавших пероральные антидиабетические средства или инсулин, гликемический контроль следует тщательно проводить в течение первого месяца лечения ингибитором АКФ.</w:t>
      </w:r>
    </w:p>
    <w:p w:rsidR="006B04E7" w:rsidRPr="00F547D3" w:rsidRDefault="006B04E7" w:rsidP="006B04E7">
      <w:pPr>
        <w:spacing w:after="0" w:line="240" w:lineRule="auto"/>
        <w:jc w:val="both"/>
        <w:rPr>
          <w:rStyle w:val="tlid-translation"/>
          <w:rFonts w:ascii="Times New Roman" w:hAnsi="Times New Roman"/>
          <w:i/>
          <w:sz w:val="28"/>
          <w:szCs w:val="28"/>
        </w:rPr>
      </w:pPr>
      <w:r w:rsidRPr="00F547D3">
        <w:rPr>
          <w:rStyle w:val="tlid-translation"/>
          <w:rFonts w:ascii="Times New Roman" w:hAnsi="Times New Roman"/>
          <w:i/>
          <w:sz w:val="28"/>
          <w:szCs w:val="28"/>
        </w:rPr>
        <w:t>Этнические особенности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Style w:val="tlid-translation"/>
          <w:rFonts w:ascii="Times New Roman" w:hAnsi="Times New Roman"/>
          <w:sz w:val="28"/>
          <w:szCs w:val="28"/>
        </w:rPr>
        <w:t xml:space="preserve">Как и при применении других ингибиторов АКФ, </w:t>
      </w:r>
      <w:proofErr w:type="spellStart"/>
      <w:r w:rsidRPr="00F547D3">
        <w:rPr>
          <w:rStyle w:val="tlid-translation"/>
          <w:rFonts w:ascii="Times New Roman" w:hAnsi="Times New Roman"/>
          <w:sz w:val="28"/>
          <w:szCs w:val="28"/>
        </w:rPr>
        <w:t>антигипертензивное</w:t>
      </w:r>
      <w:proofErr w:type="spellEnd"/>
      <w:r w:rsidRPr="00F547D3">
        <w:rPr>
          <w:rStyle w:val="tlid-translation"/>
          <w:rFonts w:ascii="Times New Roman" w:hAnsi="Times New Roman"/>
          <w:sz w:val="28"/>
          <w:szCs w:val="28"/>
        </w:rPr>
        <w:t xml:space="preserve"> действие </w:t>
      </w:r>
      <w:proofErr w:type="spellStart"/>
      <w:r w:rsidRPr="00F547D3">
        <w:rPr>
          <w:rStyle w:val="tlid-translation"/>
          <w:rFonts w:ascii="Times New Roman" w:hAnsi="Times New Roman"/>
          <w:sz w:val="28"/>
          <w:szCs w:val="28"/>
        </w:rPr>
        <w:t>каптоприла</w:t>
      </w:r>
      <w:proofErr w:type="spellEnd"/>
      <w:r w:rsidRPr="00F547D3">
        <w:rPr>
          <w:rStyle w:val="tlid-translation"/>
          <w:rFonts w:ascii="Times New Roman" w:hAnsi="Times New Roman"/>
          <w:sz w:val="28"/>
          <w:szCs w:val="28"/>
        </w:rPr>
        <w:t xml:space="preserve"> менее выражено у пациентов негроидной расы, вероятно, из-за более частого распространения </w:t>
      </w:r>
      <w:proofErr w:type="spellStart"/>
      <w:r w:rsidRPr="00F547D3">
        <w:rPr>
          <w:rStyle w:val="tlid-translation"/>
          <w:rFonts w:ascii="Times New Roman" w:hAnsi="Times New Roman"/>
          <w:sz w:val="28"/>
          <w:szCs w:val="28"/>
        </w:rPr>
        <w:t>низкорениновой</w:t>
      </w:r>
      <w:proofErr w:type="spellEnd"/>
      <w:r w:rsidRPr="00F547D3">
        <w:rPr>
          <w:rStyle w:val="tlid-translation"/>
          <w:rFonts w:ascii="Times New Roman" w:hAnsi="Times New Roman"/>
          <w:sz w:val="28"/>
          <w:szCs w:val="28"/>
        </w:rPr>
        <w:t xml:space="preserve"> формы гипертензии среди представителей негроидной расы.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547D3">
        <w:rPr>
          <w:rFonts w:ascii="Times New Roman" w:hAnsi="Times New Roman"/>
          <w:b/>
          <w:i/>
          <w:sz w:val="28"/>
          <w:szCs w:val="28"/>
        </w:rPr>
        <w:t>Гидрохлоротиазид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547D3">
        <w:rPr>
          <w:rFonts w:ascii="Times New Roman" w:hAnsi="Times New Roman"/>
          <w:i/>
          <w:sz w:val="28"/>
          <w:szCs w:val="28"/>
        </w:rPr>
        <w:t>Острая респираторная токсичность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Сообщалось об очень редких тяжелых случаях острой респираторной токсичности, включая острый респираторный </w:t>
      </w:r>
      <w:proofErr w:type="spellStart"/>
      <w:r w:rsidRPr="00F547D3">
        <w:rPr>
          <w:rFonts w:ascii="Times New Roman" w:hAnsi="Times New Roman"/>
          <w:sz w:val="28"/>
          <w:szCs w:val="28"/>
        </w:rPr>
        <w:t>дистресс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-синдром (ОРДС), после приема </w:t>
      </w:r>
      <w:proofErr w:type="spellStart"/>
      <w:r w:rsidRPr="00F547D3">
        <w:rPr>
          <w:rFonts w:ascii="Times New Roman" w:hAnsi="Times New Roman"/>
          <w:sz w:val="28"/>
          <w:szCs w:val="28"/>
        </w:rPr>
        <w:t>гидрохлоротиазида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. Отек легких обычно развивается в течение нескольких минут или часов после приема </w:t>
      </w:r>
      <w:proofErr w:type="spellStart"/>
      <w:r w:rsidRPr="00F547D3">
        <w:rPr>
          <w:rFonts w:ascii="Times New Roman" w:hAnsi="Times New Roman"/>
          <w:sz w:val="28"/>
          <w:szCs w:val="28"/>
        </w:rPr>
        <w:t>гидрохлоротиазида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. В начале симптомы включают одышку, лихорадку, ухудшение состояния легких и гипотензию. При подозрении на ОРДС следует отменить препарат Каптоприл Н и назначить соответствующее лечение. Гидрохлоротиазид не следует назначать пациентам, которые ранее перенесли ОРДС после приема </w:t>
      </w:r>
      <w:proofErr w:type="spellStart"/>
      <w:r w:rsidRPr="00F547D3">
        <w:rPr>
          <w:rFonts w:ascii="Times New Roman" w:hAnsi="Times New Roman"/>
          <w:sz w:val="28"/>
          <w:szCs w:val="28"/>
        </w:rPr>
        <w:t>гидрохлоротиазида</w:t>
      </w:r>
      <w:proofErr w:type="spellEnd"/>
      <w:r w:rsidRPr="00F547D3">
        <w:rPr>
          <w:rFonts w:ascii="Times New Roman" w:hAnsi="Times New Roman"/>
          <w:sz w:val="28"/>
          <w:szCs w:val="28"/>
        </w:rPr>
        <w:t>.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547D3">
        <w:rPr>
          <w:rFonts w:ascii="Times New Roman" w:hAnsi="Times New Roman"/>
          <w:i/>
          <w:sz w:val="28"/>
          <w:szCs w:val="28"/>
        </w:rPr>
        <w:t>Немеланомный</w:t>
      </w:r>
      <w:proofErr w:type="spellEnd"/>
      <w:r w:rsidRPr="00F547D3">
        <w:rPr>
          <w:rFonts w:ascii="Times New Roman" w:hAnsi="Times New Roman"/>
          <w:i/>
          <w:sz w:val="28"/>
          <w:szCs w:val="28"/>
        </w:rPr>
        <w:t xml:space="preserve"> рак кожи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В двух эпидемиологических исследованиях, основанных на данных Датского национального регистра онкологических заболеваний, был выявлен повышенный риск развития </w:t>
      </w:r>
      <w:proofErr w:type="spellStart"/>
      <w:r w:rsidRPr="00F547D3">
        <w:rPr>
          <w:rFonts w:ascii="Times New Roman" w:hAnsi="Times New Roman"/>
          <w:sz w:val="28"/>
          <w:szCs w:val="28"/>
        </w:rPr>
        <w:t>немеланомного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рака кожи (НМРК) [</w:t>
      </w:r>
      <w:proofErr w:type="gramStart"/>
      <w:r w:rsidRPr="00F547D3">
        <w:rPr>
          <w:rFonts w:ascii="Times New Roman" w:hAnsi="Times New Roman"/>
          <w:sz w:val="28"/>
          <w:szCs w:val="28"/>
        </w:rPr>
        <w:t>базально-клеточной</w:t>
      </w:r>
      <w:proofErr w:type="gramEnd"/>
      <w:r w:rsidRPr="00F547D3">
        <w:rPr>
          <w:rFonts w:ascii="Times New Roman" w:hAnsi="Times New Roman"/>
          <w:sz w:val="28"/>
          <w:szCs w:val="28"/>
        </w:rPr>
        <w:t xml:space="preserve"> карциномы (БКК) и плоскоклеточной карциномы (ПСК)] после применения более высоких суммарных доз </w:t>
      </w:r>
      <w:proofErr w:type="spellStart"/>
      <w:r w:rsidRPr="00F547D3">
        <w:rPr>
          <w:rFonts w:ascii="Times New Roman" w:hAnsi="Times New Roman"/>
          <w:sz w:val="28"/>
          <w:szCs w:val="28"/>
        </w:rPr>
        <w:t>гидрохлоротиазида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. Фотосенсибилизирующие действия </w:t>
      </w:r>
      <w:proofErr w:type="spellStart"/>
      <w:r w:rsidRPr="00F547D3">
        <w:rPr>
          <w:rFonts w:ascii="Times New Roman" w:hAnsi="Times New Roman"/>
          <w:sz w:val="28"/>
          <w:szCs w:val="28"/>
        </w:rPr>
        <w:t>гидрохлоротиазида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может выступать в качестве возможного механизма развития НМРК.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Пациенты, принимающие гидрохлоротиазид, должны быть проинформированы о риске развития НМРК, о необходимости регулярной проверки кожных покровов на наличие новых очагов и о незамедлительном предоставлении сообщений о любых подозрительных новообразованиях на коже. Для снижения риска развития рака кожи пациентам следует сообщить о возможных профилактических мерах, таких как ограничение воздействия солнечного света и УФ-лучей, а в случае воздействия, адекватную защиту кожных покровов. Необходимо в кратчайшие сроки обследовать подозрительные поражения кожных покровов, включая гистологическое исследование </w:t>
      </w:r>
      <w:proofErr w:type="spellStart"/>
      <w:r w:rsidRPr="00F547D3">
        <w:rPr>
          <w:rFonts w:ascii="Times New Roman" w:hAnsi="Times New Roman"/>
          <w:sz w:val="28"/>
          <w:szCs w:val="28"/>
        </w:rPr>
        <w:t>биопсийного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материала. У пациентов, ранее перенесших НМРК, также может потребоваться пересмотреть необходимость применения </w:t>
      </w:r>
      <w:proofErr w:type="spellStart"/>
      <w:r w:rsidRPr="00F547D3">
        <w:rPr>
          <w:rFonts w:ascii="Times New Roman" w:hAnsi="Times New Roman"/>
          <w:sz w:val="28"/>
          <w:szCs w:val="28"/>
        </w:rPr>
        <w:t>гидрохлоротиазида</w:t>
      </w:r>
      <w:proofErr w:type="spellEnd"/>
      <w:r w:rsidRPr="00F547D3">
        <w:rPr>
          <w:rFonts w:ascii="Times New Roman" w:hAnsi="Times New Roman"/>
          <w:sz w:val="28"/>
          <w:szCs w:val="28"/>
        </w:rPr>
        <w:t>.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547D3">
        <w:rPr>
          <w:rFonts w:ascii="Times New Roman" w:hAnsi="Times New Roman"/>
          <w:i/>
          <w:sz w:val="28"/>
          <w:szCs w:val="28"/>
        </w:rPr>
        <w:t>Почечная недостаточность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lastRenderedPageBreak/>
        <w:t xml:space="preserve">У пациентов с почечной недостаточностью </w:t>
      </w:r>
      <w:proofErr w:type="spellStart"/>
      <w:r w:rsidRPr="00F547D3">
        <w:rPr>
          <w:rFonts w:ascii="Times New Roman" w:hAnsi="Times New Roman"/>
          <w:sz w:val="28"/>
          <w:szCs w:val="28"/>
        </w:rPr>
        <w:t>тиазиды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могут вызывать азотемию. Совокупное действие препарата может развиться у пациентов с нарушением функции почек. Если ухудшение функции почек прогрессирует и характеризуется повышением содержания небелкового азота, необходимо тщательно пересмотреть лечение больного с возможной отменой диуретика. 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547D3">
        <w:rPr>
          <w:rFonts w:ascii="Times New Roman" w:hAnsi="Times New Roman"/>
          <w:i/>
          <w:sz w:val="28"/>
          <w:szCs w:val="28"/>
        </w:rPr>
        <w:t>Печеночная недостаточность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Гидрохлоротиазид следует применять с осторожностью у пациентов с нарушениями функции печени или у больных с прогрессирующим заболеванием печени, поскольку незначительные изменения в водно-солевом балансе могут спровоцировать развитие печеночной комы. 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547D3">
        <w:rPr>
          <w:rFonts w:ascii="Times New Roman" w:hAnsi="Times New Roman"/>
          <w:i/>
          <w:sz w:val="28"/>
          <w:szCs w:val="28"/>
        </w:rPr>
        <w:t>Метаболические и эндокринные нарушения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Лечение </w:t>
      </w:r>
      <w:proofErr w:type="spellStart"/>
      <w:r w:rsidRPr="00F547D3">
        <w:rPr>
          <w:rFonts w:ascii="Times New Roman" w:hAnsi="Times New Roman"/>
          <w:sz w:val="28"/>
          <w:szCs w:val="28"/>
        </w:rPr>
        <w:t>тиазидами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может нарушать толерантность к глюкозе. У пациентов с сахарным диабетом может потребоваться коррекция дозы инсулина или пероральных противодиабетических средств. Во время лечения </w:t>
      </w:r>
      <w:proofErr w:type="spellStart"/>
      <w:r w:rsidRPr="00F547D3">
        <w:rPr>
          <w:rFonts w:ascii="Times New Roman" w:hAnsi="Times New Roman"/>
          <w:sz w:val="28"/>
          <w:szCs w:val="28"/>
        </w:rPr>
        <w:t>тиазидами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может проявиться латентный сахарный диабет.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Повышение холестерина и триглицеридов может быть связано с терапией </w:t>
      </w:r>
      <w:proofErr w:type="spellStart"/>
      <w:r w:rsidRPr="00F547D3">
        <w:rPr>
          <w:rFonts w:ascii="Times New Roman" w:hAnsi="Times New Roman"/>
          <w:sz w:val="28"/>
          <w:szCs w:val="28"/>
        </w:rPr>
        <w:t>тиазидными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диуретиками.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Лечение </w:t>
      </w:r>
      <w:proofErr w:type="spellStart"/>
      <w:r w:rsidRPr="00F547D3">
        <w:rPr>
          <w:rFonts w:ascii="Times New Roman" w:hAnsi="Times New Roman"/>
          <w:sz w:val="28"/>
          <w:szCs w:val="28"/>
        </w:rPr>
        <w:t>гидрохлоротиазидом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может вызвать </w:t>
      </w:r>
      <w:proofErr w:type="spellStart"/>
      <w:r w:rsidRPr="00F547D3">
        <w:rPr>
          <w:rFonts w:ascii="Times New Roman" w:hAnsi="Times New Roman"/>
          <w:sz w:val="28"/>
          <w:szCs w:val="28"/>
        </w:rPr>
        <w:t>гиперурикемию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и/или подагру у некоторых пациентов.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547D3">
        <w:rPr>
          <w:rFonts w:ascii="Times New Roman" w:hAnsi="Times New Roman"/>
          <w:i/>
          <w:sz w:val="28"/>
          <w:szCs w:val="28"/>
        </w:rPr>
        <w:t>Электролитный дисбаланс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Как и у любого пациента, получающего терапию диуретиками, следует периодически контролировать уровень электролитов в сыворотке. 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47D3">
        <w:rPr>
          <w:rFonts w:ascii="Times New Roman" w:hAnsi="Times New Roman"/>
          <w:sz w:val="28"/>
          <w:szCs w:val="28"/>
        </w:rPr>
        <w:t>Тиазиды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, включая </w:t>
      </w:r>
      <w:proofErr w:type="spellStart"/>
      <w:r w:rsidRPr="00F547D3">
        <w:rPr>
          <w:rFonts w:ascii="Times New Roman" w:hAnsi="Times New Roman"/>
          <w:sz w:val="28"/>
          <w:szCs w:val="28"/>
        </w:rPr>
        <w:t>гидрохлоротиазид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, могут вызвать </w:t>
      </w:r>
      <w:r w:rsidRPr="00F547D3">
        <w:rPr>
          <w:rFonts w:ascii="Times New Roman" w:eastAsia="Times New Roman" w:hAnsi="Times New Roman"/>
          <w:sz w:val="28"/>
          <w:szCs w:val="28"/>
          <w:lang w:eastAsia="ru-RU"/>
        </w:rPr>
        <w:t>водно-электролитный дисбаланс (</w:t>
      </w:r>
      <w:proofErr w:type="spellStart"/>
      <w:r w:rsidRPr="00F547D3">
        <w:rPr>
          <w:rFonts w:ascii="Times New Roman" w:eastAsia="Times New Roman" w:hAnsi="Times New Roman"/>
          <w:sz w:val="28"/>
          <w:szCs w:val="28"/>
          <w:lang w:eastAsia="ru-RU"/>
        </w:rPr>
        <w:t>гипокалиемия</w:t>
      </w:r>
      <w:proofErr w:type="spellEnd"/>
      <w:r w:rsidRPr="00F547D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547D3">
        <w:rPr>
          <w:rFonts w:ascii="Times New Roman" w:eastAsia="Times New Roman" w:hAnsi="Times New Roman"/>
          <w:sz w:val="28"/>
          <w:szCs w:val="28"/>
          <w:lang w:eastAsia="ru-RU"/>
        </w:rPr>
        <w:t>гипонатриемия</w:t>
      </w:r>
      <w:proofErr w:type="spellEnd"/>
      <w:r w:rsidRPr="00F547D3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F547D3">
        <w:rPr>
          <w:rFonts w:ascii="Times New Roman" w:eastAsia="Times New Roman" w:hAnsi="Times New Roman"/>
          <w:sz w:val="28"/>
          <w:szCs w:val="28"/>
          <w:lang w:eastAsia="ru-RU"/>
        </w:rPr>
        <w:t>гипохлоремический</w:t>
      </w:r>
      <w:proofErr w:type="spellEnd"/>
      <w:r w:rsidRPr="00F547D3">
        <w:rPr>
          <w:rFonts w:ascii="Times New Roman" w:eastAsia="Times New Roman" w:hAnsi="Times New Roman"/>
          <w:sz w:val="28"/>
          <w:szCs w:val="28"/>
          <w:lang w:eastAsia="ru-RU"/>
        </w:rPr>
        <w:t xml:space="preserve"> алкалоз)</w:t>
      </w:r>
      <w:r w:rsidRPr="00F547D3">
        <w:rPr>
          <w:rFonts w:ascii="Times New Roman" w:hAnsi="Times New Roman"/>
          <w:sz w:val="28"/>
          <w:szCs w:val="28"/>
        </w:rPr>
        <w:t xml:space="preserve">. Предупреждающими признаками дисбаланса жидкости или электролита являются </w:t>
      </w:r>
      <w:r w:rsidRPr="00F547D3">
        <w:rPr>
          <w:rFonts w:ascii="Times New Roman" w:eastAsia="Times New Roman" w:hAnsi="Times New Roman"/>
          <w:sz w:val="28"/>
          <w:szCs w:val="28"/>
          <w:lang w:eastAsia="ru-RU"/>
        </w:rPr>
        <w:t xml:space="preserve">сухость во рту, жажда; слабость, вялость, сонливость, беспокойство; боль в мышцах или судороги, мышечная слабость; артериальная гипотензия; </w:t>
      </w:r>
      <w:proofErr w:type="spellStart"/>
      <w:r w:rsidRPr="00F547D3">
        <w:rPr>
          <w:rFonts w:ascii="Times New Roman" w:eastAsia="Times New Roman" w:hAnsi="Times New Roman"/>
          <w:sz w:val="28"/>
          <w:szCs w:val="28"/>
          <w:lang w:eastAsia="ru-RU"/>
        </w:rPr>
        <w:t>олигурия</w:t>
      </w:r>
      <w:proofErr w:type="spellEnd"/>
      <w:r w:rsidRPr="00F547D3">
        <w:rPr>
          <w:rFonts w:ascii="Times New Roman" w:eastAsia="Times New Roman" w:hAnsi="Times New Roman"/>
          <w:sz w:val="28"/>
          <w:szCs w:val="28"/>
          <w:lang w:eastAsia="ru-RU"/>
        </w:rPr>
        <w:t>; тахикардия и желудочно-кишечные расстройства, такие как тошнота и рвота</w:t>
      </w:r>
      <w:r w:rsidRPr="00F547D3">
        <w:rPr>
          <w:rFonts w:ascii="Times New Roman" w:hAnsi="Times New Roman"/>
          <w:sz w:val="28"/>
          <w:szCs w:val="28"/>
        </w:rPr>
        <w:t xml:space="preserve">. 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7D3">
        <w:rPr>
          <w:rFonts w:ascii="Times New Roman" w:eastAsia="Times New Roman" w:hAnsi="Times New Roman"/>
          <w:sz w:val="28"/>
          <w:szCs w:val="28"/>
          <w:lang w:eastAsia="ru-RU"/>
        </w:rPr>
        <w:t xml:space="preserve">Хотя одновременное применение с </w:t>
      </w:r>
      <w:proofErr w:type="spellStart"/>
      <w:r w:rsidRPr="00F547D3">
        <w:rPr>
          <w:rFonts w:ascii="Times New Roman" w:eastAsia="Times New Roman" w:hAnsi="Times New Roman"/>
          <w:sz w:val="28"/>
          <w:szCs w:val="28"/>
          <w:lang w:eastAsia="ru-RU"/>
        </w:rPr>
        <w:t>каптоприлом</w:t>
      </w:r>
      <w:proofErr w:type="spellEnd"/>
      <w:r w:rsidRPr="00F547D3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уменьшает риск развития </w:t>
      </w:r>
      <w:proofErr w:type="spellStart"/>
      <w:r w:rsidRPr="00F547D3">
        <w:rPr>
          <w:rFonts w:ascii="Times New Roman" w:eastAsia="Times New Roman" w:hAnsi="Times New Roman"/>
          <w:sz w:val="28"/>
          <w:szCs w:val="28"/>
          <w:lang w:eastAsia="ru-RU"/>
        </w:rPr>
        <w:t>гипокалиемии</w:t>
      </w:r>
      <w:proofErr w:type="spellEnd"/>
      <w:r w:rsidRPr="00F547D3">
        <w:rPr>
          <w:rFonts w:ascii="Times New Roman" w:eastAsia="Times New Roman" w:hAnsi="Times New Roman"/>
          <w:sz w:val="28"/>
          <w:szCs w:val="28"/>
          <w:lang w:eastAsia="ru-RU"/>
        </w:rPr>
        <w:t xml:space="preserve">, вызванной </w:t>
      </w:r>
      <w:proofErr w:type="spellStart"/>
      <w:r w:rsidRPr="00F547D3">
        <w:rPr>
          <w:rFonts w:ascii="Times New Roman" w:eastAsia="Times New Roman" w:hAnsi="Times New Roman"/>
          <w:sz w:val="28"/>
          <w:szCs w:val="28"/>
          <w:lang w:eastAsia="ru-RU"/>
        </w:rPr>
        <w:t>гидрохлоротиазидом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. </w:t>
      </w:r>
      <w:r w:rsidRPr="00F547D3">
        <w:rPr>
          <w:rFonts w:ascii="Times New Roman" w:eastAsia="Times New Roman" w:hAnsi="Times New Roman"/>
          <w:sz w:val="28"/>
          <w:szCs w:val="28"/>
          <w:lang w:eastAsia="ru-RU"/>
        </w:rPr>
        <w:t xml:space="preserve">к группе повышенного риска развития </w:t>
      </w:r>
      <w:proofErr w:type="spellStart"/>
      <w:r w:rsidRPr="00F547D3">
        <w:rPr>
          <w:rFonts w:ascii="Times New Roman" w:eastAsia="Times New Roman" w:hAnsi="Times New Roman"/>
          <w:sz w:val="28"/>
          <w:szCs w:val="28"/>
          <w:lang w:eastAsia="ru-RU"/>
        </w:rPr>
        <w:t>гипокалиемии</w:t>
      </w:r>
      <w:proofErr w:type="spellEnd"/>
      <w:r w:rsidRPr="00F547D3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относятся пациенты с циррозом печени, повышенным диурезом, недостаточным пероральным замещением потери электролитов, а также лица, получающие терапию </w:t>
      </w:r>
      <w:proofErr w:type="spellStart"/>
      <w:r w:rsidRPr="00F547D3">
        <w:rPr>
          <w:rFonts w:ascii="Times New Roman" w:eastAsia="Times New Roman" w:hAnsi="Times New Roman"/>
          <w:sz w:val="28"/>
          <w:szCs w:val="28"/>
          <w:lang w:eastAsia="ru-RU"/>
        </w:rPr>
        <w:t>глюкокортикостероидами</w:t>
      </w:r>
      <w:proofErr w:type="spellEnd"/>
      <w:r w:rsidRPr="00F547D3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адренокортикотропным гормоном.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eastAsia="Times New Roman" w:hAnsi="Times New Roman"/>
          <w:sz w:val="28"/>
          <w:szCs w:val="28"/>
          <w:lang w:eastAsia="ru-RU"/>
        </w:rPr>
        <w:t xml:space="preserve">В жаркую погоду у пациентов, склонных к отекам, может возникнуть </w:t>
      </w:r>
      <w:proofErr w:type="spellStart"/>
      <w:r w:rsidRPr="00F547D3">
        <w:rPr>
          <w:rFonts w:ascii="Times New Roman" w:eastAsia="Times New Roman" w:hAnsi="Times New Roman"/>
          <w:sz w:val="28"/>
          <w:szCs w:val="28"/>
          <w:lang w:eastAsia="ru-RU"/>
        </w:rPr>
        <w:t>гипонатриемия</w:t>
      </w:r>
      <w:proofErr w:type="spellEnd"/>
      <w:r w:rsidRPr="00F547D3">
        <w:rPr>
          <w:rFonts w:ascii="Times New Roman" w:eastAsia="Times New Roman" w:hAnsi="Times New Roman"/>
          <w:sz w:val="28"/>
          <w:szCs w:val="28"/>
          <w:lang w:eastAsia="ru-RU"/>
        </w:rPr>
        <w:t>. Дефицит хлоридов обычно незначителен и обычно не требует лечения.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47D3">
        <w:rPr>
          <w:rFonts w:ascii="Times New Roman" w:hAnsi="Times New Roman"/>
          <w:sz w:val="28"/>
          <w:szCs w:val="28"/>
        </w:rPr>
        <w:t>Тиазиды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могут снижать экскрецию кальция почками, а также вызывать временное незначительное повышение концентрации кальция в сыворотке крови при отсутствии выраженных нарушений метаболизма кальция. Выраженная гиперкальциемия может свидетельствовать о скрытом </w:t>
      </w:r>
      <w:proofErr w:type="spellStart"/>
      <w:r w:rsidRPr="00F547D3">
        <w:rPr>
          <w:rFonts w:ascii="Times New Roman" w:hAnsi="Times New Roman"/>
          <w:sz w:val="28"/>
          <w:szCs w:val="28"/>
        </w:rPr>
        <w:t>гиперпаратиреоидизме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. </w:t>
      </w:r>
      <w:r w:rsidRPr="00F547D3">
        <w:rPr>
          <w:rFonts w:ascii="Times New Roman" w:eastAsia="Arial Unicode MS" w:hAnsi="Times New Roman"/>
          <w:sz w:val="28"/>
          <w:szCs w:val="28"/>
          <w:lang w:eastAsia="ru-RU"/>
        </w:rPr>
        <w:t xml:space="preserve">Поэтому перед проведением </w:t>
      </w:r>
      <w:r w:rsidRPr="00F547D3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обследования </w:t>
      </w:r>
      <w:r w:rsidRPr="00F547D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функции паращитовидных желез</w:t>
      </w:r>
      <w:r w:rsidRPr="00F547D3">
        <w:rPr>
          <w:rFonts w:ascii="Times New Roman" w:eastAsia="Arial Unicode MS" w:hAnsi="Times New Roman"/>
          <w:sz w:val="28"/>
          <w:szCs w:val="28"/>
          <w:lang w:eastAsia="ru-RU"/>
        </w:rPr>
        <w:t xml:space="preserve"> применение </w:t>
      </w:r>
      <w:r w:rsidRPr="00F547D3">
        <w:rPr>
          <w:rFonts w:ascii="Times New Roman" w:eastAsia="Times New Roman" w:hAnsi="Times New Roman"/>
          <w:sz w:val="28"/>
          <w:szCs w:val="28"/>
          <w:lang w:eastAsia="ru-RU"/>
        </w:rPr>
        <w:t>лекарственного средства</w:t>
      </w:r>
      <w:r w:rsidRPr="00F547D3">
        <w:rPr>
          <w:rFonts w:ascii="Times New Roman" w:eastAsia="Arial Unicode MS" w:hAnsi="Times New Roman"/>
          <w:sz w:val="28"/>
          <w:szCs w:val="28"/>
          <w:lang w:eastAsia="ru-RU"/>
        </w:rPr>
        <w:t xml:space="preserve"> следует прекратить.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Было показано, что </w:t>
      </w:r>
      <w:proofErr w:type="spellStart"/>
      <w:r w:rsidRPr="00F547D3">
        <w:rPr>
          <w:rFonts w:ascii="Times New Roman" w:hAnsi="Times New Roman"/>
          <w:sz w:val="28"/>
          <w:szCs w:val="28"/>
        </w:rPr>
        <w:t>тиазиды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увеличивают экскрецию магния с мочой, что может привести к </w:t>
      </w:r>
      <w:proofErr w:type="spellStart"/>
      <w:r w:rsidRPr="00F547D3">
        <w:rPr>
          <w:rFonts w:ascii="Times New Roman" w:hAnsi="Times New Roman"/>
          <w:sz w:val="28"/>
          <w:szCs w:val="28"/>
        </w:rPr>
        <w:t>гипомагниемии</w:t>
      </w:r>
      <w:proofErr w:type="spellEnd"/>
      <w:r w:rsidRPr="00F547D3">
        <w:rPr>
          <w:rFonts w:ascii="Times New Roman" w:hAnsi="Times New Roman"/>
          <w:sz w:val="28"/>
          <w:szCs w:val="28"/>
        </w:rPr>
        <w:t>.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547D3">
        <w:rPr>
          <w:rFonts w:ascii="Times New Roman" w:hAnsi="Times New Roman"/>
          <w:i/>
          <w:sz w:val="28"/>
          <w:szCs w:val="28"/>
        </w:rPr>
        <w:t>Антидопинг тест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>Гидрохлоротиазид может привести к положительному аналитическому результату в тесте антидопинга.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547D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Хориоидальный</w:t>
      </w:r>
      <w:proofErr w:type="spellEnd"/>
      <w:r w:rsidRPr="00F547D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выпот, острая миопия и вторичная острая </w:t>
      </w:r>
      <w:proofErr w:type="spellStart"/>
      <w:r w:rsidRPr="00F547D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закрытоугольная</w:t>
      </w:r>
      <w:proofErr w:type="spellEnd"/>
      <w:r w:rsidRPr="00F547D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глаукома 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54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Препараты </w:t>
      </w:r>
      <w:proofErr w:type="spellStart"/>
      <w:r w:rsidRPr="00F54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сульфонамида</w:t>
      </w:r>
      <w:proofErr w:type="spellEnd"/>
      <w:r w:rsidRPr="00F54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547D3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производные </w:t>
      </w:r>
      <w:proofErr w:type="spellStart"/>
      <w:r w:rsidRPr="00F547D3">
        <w:rPr>
          <w:rFonts w:ascii="Times New Roman" w:eastAsia="Times New Roman" w:hAnsi="Times New Roman"/>
          <w:sz w:val="28"/>
          <w:szCs w:val="28"/>
          <w:lang w:eastAsia="ru-RU"/>
        </w:rPr>
        <w:t>сульфонамидов</w:t>
      </w:r>
      <w:proofErr w:type="spellEnd"/>
      <w:r w:rsidRPr="00F547D3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вызывать идиосинкразическую реакцию, </w:t>
      </w:r>
      <w:r w:rsidRPr="00F547D3">
        <w:rPr>
          <w:rFonts w:ascii="Times New Roman" w:hAnsi="Times New Roman"/>
          <w:sz w:val="28"/>
          <w:szCs w:val="28"/>
          <w:shd w:val="clear" w:color="auto" w:fill="FFFFFF"/>
        </w:rPr>
        <w:t>к </w:t>
      </w:r>
      <w:proofErr w:type="spellStart"/>
      <w:r w:rsidRPr="00F547D3">
        <w:rPr>
          <w:rFonts w:ascii="Times New Roman" w:hAnsi="Times New Roman"/>
          <w:sz w:val="28"/>
          <w:szCs w:val="28"/>
          <w:shd w:val="clear" w:color="auto" w:fill="FFFFFF"/>
        </w:rPr>
        <w:t>хориоидальному</w:t>
      </w:r>
      <w:proofErr w:type="spellEnd"/>
      <w:r w:rsidRPr="00F547D3">
        <w:rPr>
          <w:rFonts w:ascii="Times New Roman" w:hAnsi="Times New Roman"/>
          <w:sz w:val="28"/>
          <w:szCs w:val="28"/>
          <w:shd w:val="clear" w:color="auto" w:fill="FFFFFF"/>
        </w:rPr>
        <w:t xml:space="preserve"> выпоту с дефектом поля зрения, преходящей миопией и острой </w:t>
      </w:r>
      <w:proofErr w:type="spellStart"/>
      <w:r w:rsidRPr="00F547D3">
        <w:rPr>
          <w:rFonts w:ascii="Times New Roman" w:hAnsi="Times New Roman"/>
          <w:sz w:val="28"/>
          <w:szCs w:val="28"/>
          <w:shd w:val="clear" w:color="auto" w:fill="FFFFFF"/>
        </w:rPr>
        <w:t>закрытоугольной</w:t>
      </w:r>
      <w:proofErr w:type="spellEnd"/>
      <w:r w:rsidRPr="00F547D3">
        <w:rPr>
          <w:rFonts w:ascii="Times New Roman" w:hAnsi="Times New Roman"/>
          <w:sz w:val="28"/>
          <w:szCs w:val="28"/>
          <w:shd w:val="clear" w:color="auto" w:fill="FFFFFF"/>
        </w:rPr>
        <w:t xml:space="preserve"> глаукомой</w:t>
      </w:r>
      <w:r w:rsidRPr="00F547D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54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Хотя </w:t>
      </w:r>
      <w:proofErr w:type="spellStart"/>
      <w:r w:rsidRPr="00F54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гидрохлоротиазид</w:t>
      </w:r>
      <w:proofErr w:type="spellEnd"/>
      <w:r w:rsidRPr="00F54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является </w:t>
      </w:r>
      <w:proofErr w:type="spellStart"/>
      <w:r w:rsidRPr="00F54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сульфонамидом</w:t>
      </w:r>
      <w:proofErr w:type="spellEnd"/>
      <w:r w:rsidRPr="00F54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сообщалось только об отдельных случаях острой </w:t>
      </w:r>
      <w:proofErr w:type="spellStart"/>
      <w:r w:rsidRPr="00F54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закрытоугольной</w:t>
      </w:r>
      <w:proofErr w:type="spellEnd"/>
      <w:r w:rsidRPr="00F54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глаукомы без определенной причинной связи. Симптомы включают: внезапное снижение остроты зрения или боль в глазах, которые проявляются, как правило, в течение нескольких часов или недель от начала терапии </w:t>
      </w:r>
      <w:proofErr w:type="spellStart"/>
      <w:r w:rsidRPr="00F54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гидрохлоротиазидом</w:t>
      </w:r>
      <w:proofErr w:type="spellEnd"/>
      <w:r w:rsidRPr="00F54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При отсутствии лечения острая </w:t>
      </w:r>
      <w:proofErr w:type="spellStart"/>
      <w:r w:rsidRPr="00F54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закрытоугольная</w:t>
      </w:r>
      <w:proofErr w:type="spellEnd"/>
      <w:r w:rsidRPr="00F54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глаукома может привести к необратимой потере зрения. Основное лечение - как можно быстрее прекратить прием </w:t>
      </w:r>
      <w:proofErr w:type="spellStart"/>
      <w:r w:rsidRPr="00F54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гидрохлоротиазида</w:t>
      </w:r>
      <w:proofErr w:type="spellEnd"/>
      <w:r w:rsidRPr="00F54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Если внутриглазное давление остается неконтролируемым, может потребоваться неотложное медицинское или хирургическое лечение. </w:t>
      </w:r>
      <w:r w:rsidRPr="00F547D3">
        <w:rPr>
          <w:rFonts w:ascii="Times New Roman" w:hAnsi="Times New Roman"/>
          <w:sz w:val="28"/>
          <w:szCs w:val="28"/>
          <w:shd w:val="clear" w:color="auto" w:fill="FFFFFF"/>
        </w:rPr>
        <w:t xml:space="preserve">Факторы риска развития острой </w:t>
      </w:r>
      <w:proofErr w:type="spellStart"/>
      <w:r w:rsidRPr="00F547D3">
        <w:rPr>
          <w:rFonts w:ascii="Times New Roman" w:hAnsi="Times New Roman"/>
          <w:sz w:val="28"/>
          <w:szCs w:val="28"/>
          <w:shd w:val="clear" w:color="auto" w:fill="FFFFFF"/>
        </w:rPr>
        <w:t>закрытоугольной</w:t>
      </w:r>
      <w:proofErr w:type="spellEnd"/>
      <w:r w:rsidRPr="00F547D3">
        <w:rPr>
          <w:rFonts w:ascii="Times New Roman" w:hAnsi="Times New Roman"/>
          <w:sz w:val="28"/>
          <w:szCs w:val="28"/>
          <w:shd w:val="clear" w:color="auto" w:fill="FFFFFF"/>
        </w:rPr>
        <w:t xml:space="preserve"> глаукомы могут включать в себя наличие в анамнезе аллергических реакций на </w:t>
      </w:r>
      <w:proofErr w:type="spellStart"/>
      <w:r w:rsidRPr="00F547D3">
        <w:rPr>
          <w:rFonts w:ascii="Times New Roman" w:hAnsi="Times New Roman"/>
          <w:sz w:val="28"/>
          <w:szCs w:val="28"/>
          <w:shd w:val="clear" w:color="auto" w:fill="FFFFFF"/>
        </w:rPr>
        <w:t>сульфонамид</w:t>
      </w:r>
      <w:proofErr w:type="spellEnd"/>
      <w:r w:rsidRPr="00F547D3">
        <w:rPr>
          <w:rFonts w:ascii="Times New Roman" w:hAnsi="Times New Roman"/>
          <w:sz w:val="28"/>
          <w:szCs w:val="28"/>
          <w:shd w:val="clear" w:color="auto" w:fill="FFFFFF"/>
        </w:rPr>
        <w:t xml:space="preserve"> или пенициллин.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i/>
          <w:sz w:val="28"/>
          <w:szCs w:val="28"/>
        </w:rPr>
        <w:t>Прочие</w:t>
      </w:r>
      <w:r w:rsidRPr="00F547D3">
        <w:rPr>
          <w:rFonts w:ascii="Times New Roman" w:hAnsi="Times New Roman"/>
          <w:sz w:val="28"/>
          <w:szCs w:val="28"/>
        </w:rPr>
        <w:t xml:space="preserve"> 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Реакции чувствительности могут произойти у пациентов с аллергией или бронхиальной астмой, в том числе в анамнезе. Имеются сообщения о возможности активации системного </w:t>
      </w:r>
      <w:proofErr w:type="spellStart"/>
      <w:r w:rsidRPr="00F547D3">
        <w:rPr>
          <w:rFonts w:ascii="Times New Roman" w:hAnsi="Times New Roman"/>
          <w:sz w:val="28"/>
          <w:szCs w:val="28"/>
        </w:rPr>
        <w:t>волчаночноподобного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47D3">
        <w:rPr>
          <w:rFonts w:ascii="Times New Roman" w:hAnsi="Times New Roman"/>
          <w:sz w:val="28"/>
          <w:szCs w:val="28"/>
        </w:rPr>
        <w:t>эритематоза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. 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547D3">
        <w:rPr>
          <w:rFonts w:ascii="Times New Roman" w:hAnsi="Times New Roman"/>
          <w:b/>
          <w:i/>
          <w:sz w:val="28"/>
          <w:szCs w:val="28"/>
        </w:rPr>
        <w:t>Комбинация каптоприл/гидрохлоротиазид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47D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Беременность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4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Ингибиторы АКФ не следует назначать во время беременности. Если продолжение терапии ингибиторами АКФ не считается необходимым, пациенты, планирующие беременность, должны быть заменены на альтернативные </w:t>
      </w:r>
      <w:proofErr w:type="spellStart"/>
      <w:r w:rsidRPr="00F54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антигипертензивные</w:t>
      </w:r>
      <w:proofErr w:type="spellEnd"/>
      <w:r w:rsidRPr="00F54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препараты, которые имеют установленный профиль безопасности для использования во время беременности. Когда диагностируется беременность, лечение ингибиторами АКФ следует немедленно прекратить и, при необходимости, начать альтернативную терапию.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47D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Риск </w:t>
      </w:r>
      <w:proofErr w:type="spellStart"/>
      <w:r w:rsidRPr="00F547D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гипокалиемии</w:t>
      </w:r>
      <w:proofErr w:type="spellEnd"/>
    </w:p>
    <w:p w:rsidR="006B04E7" w:rsidRPr="00F547D3" w:rsidRDefault="006B04E7" w:rsidP="006B04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47D3">
        <w:rPr>
          <w:rFonts w:ascii="Times New Roman" w:hAnsi="Times New Roman"/>
          <w:sz w:val="28"/>
          <w:szCs w:val="28"/>
        </w:rPr>
        <w:t xml:space="preserve">Комбинация ингибитора АКФ с </w:t>
      </w:r>
      <w:proofErr w:type="spellStart"/>
      <w:r w:rsidRPr="00F547D3">
        <w:rPr>
          <w:rFonts w:ascii="Times New Roman" w:hAnsi="Times New Roman"/>
          <w:sz w:val="28"/>
          <w:szCs w:val="28"/>
        </w:rPr>
        <w:t>тиазидными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диуретиками не исключает возникновение </w:t>
      </w:r>
      <w:proofErr w:type="spellStart"/>
      <w:r w:rsidRPr="00F547D3">
        <w:rPr>
          <w:rFonts w:ascii="Times New Roman" w:hAnsi="Times New Roman"/>
          <w:sz w:val="28"/>
          <w:szCs w:val="28"/>
        </w:rPr>
        <w:t>гипокалиемии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, поэтому необходимо постоянно контролировать уровень калия в сыворотке. 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47D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Литий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47D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Одновременное применение лекарственного средства с литием не рекомендуется из-за усиления токсичности последнего</w:t>
      </w:r>
      <w:r w:rsidRPr="00F54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D0E84" w:rsidRPr="00F547D3" w:rsidRDefault="007D0E84" w:rsidP="008C045F">
      <w:pPr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 w:rsidRPr="00F547D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Предполагается, что </w:t>
      </w:r>
      <w:proofErr w:type="spellStart"/>
      <w:r w:rsidRPr="00F547D3">
        <w:rPr>
          <w:rFonts w:ascii="Times New Roman" w:hAnsi="Times New Roman"/>
          <w:sz w:val="28"/>
          <w:szCs w:val="28"/>
        </w:rPr>
        <w:t>антигипертензивный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эффект </w:t>
      </w:r>
      <w:proofErr w:type="spellStart"/>
      <w:r w:rsidRPr="00F547D3">
        <w:rPr>
          <w:rFonts w:ascii="Times New Roman" w:hAnsi="Times New Roman"/>
          <w:sz w:val="28"/>
          <w:szCs w:val="28"/>
        </w:rPr>
        <w:t>каптоприла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может быть отсрочен, если пациенты, получавшие </w:t>
      </w:r>
      <w:proofErr w:type="spellStart"/>
      <w:r w:rsidRPr="00F547D3">
        <w:rPr>
          <w:rFonts w:ascii="Times New Roman" w:hAnsi="Times New Roman"/>
          <w:sz w:val="28"/>
          <w:szCs w:val="28"/>
        </w:rPr>
        <w:t>клонидин</w:t>
      </w:r>
      <w:proofErr w:type="spellEnd"/>
      <w:r w:rsidRPr="00F547D3">
        <w:rPr>
          <w:rFonts w:ascii="Times New Roman" w:hAnsi="Times New Roman"/>
          <w:sz w:val="28"/>
          <w:szCs w:val="28"/>
        </w:rPr>
        <w:t>, заменяют его на каптоприл.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547D3">
        <w:rPr>
          <w:rFonts w:ascii="Times New Roman" w:hAnsi="Times New Roman"/>
          <w:b/>
          <w:i/>
          <w:sz w:val="28"/>
          <w:szCs w:val="28"/>
        </w:rPr>
        <w:t>Каптоприл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547D3">
        <w:rPr>
          <w:rFonts w:ascii="Times New Roman" w:hAnsi="Times New Roman"/>
          <w:i/>
          <w:sz w:val="28"/>
          <w:szCs w:val="28"/>
        </w:rPr>
        <w:t>Калийсберегающие диуретики или пищевые добавки с калием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Ингибиторы АКФ снижают потерю калия, вызванную приемом диуретиков, что при одновременном применении с калийсберегающими диуретиками (например, </w:t>
      </w:r>
      <w:proofErr w:type="spellStart"/>
      <w:r w:rsidRPr="00F547D3">
        <w:rPr>
          <w:rFonts w:ascii="Times New Roman" w:hAnsi="Times New Roman"/>
          <w:sz w:val="28"/>
          <w:szCs w:val="28"/>
        </w:rPr>
        <w:t>спиронолактон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47D3">
        <w:rPr>
          <w:rFonts w:ascii="Times New Roman" w:hAnsi="Times New Roman"/>
          <w:sz w:val="28"/>
          <w:szCs w:val="28"/>
        </w:rPr>
        <w:t>триамтерен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F547D3">
        <w:rPr>
          <w:rFonts w:ascii="Times New Roman" w:hAnsi="Times New Roman"/>
          <w:sz w:val="28"/>
          <w:szCs w:val="28"/>
        </w:rPr>
        <w:t>амилорид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), добавки с калием или заменители </w:t>
      </w:r>
      <w:proofErr w:type="spellStart"/>
      <w:r w:rsidRPr="00F547D3">
        <w:rPr>
          <w:rFonts w:ascii="Times New Roman" w:hAnsi="Times New Roman"/>
          <w:sz w:val="28"/>
          <w:szCs w:val="28"/>
        </w:rPr>
        <w:t>калийсодердащих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солей могут привести к </w:t>
      </w:r>
      <w:proofErr w:type="spellStart"/>
      <w:r w:rsidRPr="00F547D3">
        <w:rPr>
          <w:rFonts w:ascii="Times New Roman" w:hAnsi="Times New Roman"/>
          <w:sz w:val="28"/>
          <w:szCs w:val="28"/>
        </w:rPr>
        <w:t>гиперкалиемии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. При одновременном назначении по причине, имеющейся </w:t>
      </w:r>
      <w:proofErr w:type="spellStart"/>
      <w:r w:rsidRPr="00F547D3">
        <w:rPr>
          <w:rFonts w:ascii="Times New Roman" w:hAnsi="Times New Roman"/>
          <w:sz w:val="28"/>
          <w:szCs w:val="28"/>
        </w:rPr>
        <w:t>гипокалиемии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их следует применять с большой осторожностью и с частым мониторингом концентрации калия в сыворотке крови.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i/>
          <w:sz w:val="28"/>
          <w:szCs w:val="28"/>
        </w:rPr>
        <w:t>Диуретики (</w:t>
      </w:r>
      <w:proofErr w:type="spellStart"/>
      <w:r w:rsidRPr="00F547D3">
        <w:rPr>
          <w:rFonts w:ascii="Times New Roman" w:hAnsi="Times New Roman"/>
          <w:i/>
          <w:sz w:val="28"/>
          <w:szCs w:val="28"/>
        </w:rPr>
        <w:t>тиазидные</w:t>
      </w:r>
      <w:proofErr w:type="spellEnd"/>
      <w:r w:rsidRPr="00F547D3">
        <w:rPr>
          <w:rFonts w:ascii="Times New Roman" w:hAnsi="Times New Roman"/>
          <w:i/>
          <w:sz w:val="28"/>
          <w:szCs w:val="28"/>
        </w:rPr>
        <w:t xml:space="preserve"> или петлевые диуретики)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Назначение высоких доз диуретиков может привести к падению объема циркулирующей крови и риску развития гипотензии при последующем назначении </w:t>
      </w:r>
      <w:proofErr w:type="spellStart"/>
      <w:r w:rsidRPr="00F547D3">
        <w:rPr>
          <w:rFonts w:ascii="Times New Roman" w:hAnsi="Times New Roman"/>
          <w:sz w:val="28"/>
          <w:szCs w:val="28"/>
        </w:rPr>
        <w:t>каптоприла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. Гипотензивные эффекты могут быть уменьшены путем прекращения приема мочегонного средства, увеличения объема крови или потребления соли, или путем начала терапии низкой дозой </w:t>
      </w:r>
      <w:proofErr w:type="spellStart"/>
      <w:r w:rsidRPr="00F547D3">
        <w:rPr>
          <w:rFonts w:ascii="Times New Roman" w:hAnsi="Times New Roman"/>
          <w:sz w:val="28"/>
          <w:szCs w:val="28"/>
        </w:rPr>
        <w:t>каптоприла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. В то же время не выявлено лекарственного взаимодействия с </w:t>
      </w:r>
      <w:proofErr w:type="spellStart"/>
      <w:r w:rsidRPr="00F547D3">
        <w:rPr>
          <w:rFonts w:ascii="Times New Roman" w:hAnsi="Times New Roman"/>
          <w:sz w:val="28"/>
          <w:szCs w:val="28"/>
        </w:rPr>
        <w:t>гидрохлоротиазидом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и фуросемидом. 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i/>
          <w:sz w:val="28"/>
          <w:szCs w:val="28"/>
        </w:rPr>
        <w:t xml:space="preserve">Другие </w:t>
      </w:r>
      <w:proofErr w:type="spellStart"/>
      <w:r w:rsidRPr="00F547D3">
        <w:rPr>
          <w:rFonts w:ascii="Times New Roman" w:hAnsi="Times New Roman"/>
          <w:i/>
          <w:sz w:val="28"/>
          <w:szCs w:val="28"/>
        </w:rPr>
        <w:t>антигипертензивные</w:t>
      </w:r>
      <w:proofErr w:type="spellEnd"/>
      <w:r w:rsidRPr="00F547D3">
        <w:rPr>
          <w:rFonts w:ascii="Times New Roman" w:hAnsi="Times New Roman"/>
          <w:i/>
          <w:sz w:val="28"/>
          <w:szCs w:val="28"/>
        </w:rPr>
        <w:t xml:space="preserve"> препараты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Одновременный прием </w:t>
      </w:r>
      <w:proofErr w:type="spellStart"/>
      <w:r w:rsidRPr="00F547D3">
        <w:rPr>
          <w:rFonts w:ascii="Times New Roman" w:hAnsi="Times New Roman"/>
          <w:sz w:val="28"/>
          <w:szCs w:val="28"/>
        </w:rPr>
        <w:t>каптоприла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с другими </w:t>
      </w:r>
      <w:proofErr w:type="spellStart"/>
      <w:r w:rsidRPr="00F547D3">
        <w:rPr>
          <w:rFonts w:ascii="Times New Roman" w:hAnsi="Times New Roman"/>
          <w:sz w:val="28"/>
          <w:szCs w:val="28"/>
        </w:rPr>
        <w:t>антигипертензивными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препаратами (например, бета-блокаторами и блокаторами кальциевых каналов пролонгированного действия) является безопасным, и сопутствующий прием таких препаратов может повысить гипотензивный эффект </w:t>
      </w:r>
      <w:proofErr w:type="spellStart"/>
      <w:r w:rsidRPr="00F547D3">
        <w:rPr>
          <w:rFonts w:ascii="Times New Roman" w:hAnsi="Times New Roman"/>
          <w:sz w:val="28"/>
          <w:szCs w:val="28"/>
        </w:rPr>
        <w:t>каптоприла</w:t>
      </w:r>
      <w:proofErr w:type="spellEnd"/>
      <w:r w:rsidRPr="00F547D3">
        <w:rPr>
          <w:rFonts w:ascii="Times New Roman" w:hAnsi="Times New Roman"/>
          <w:sz w:val="28"/>
          <w:szCs w:val="28"/>
        </w:rPr>
        <w:t>. Следует с осторожностью проводить лечение нитроглицерином, другими нитратами или другими сосудосуживающими препаратами.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>Данные клинических испытаний показали, что двойная блокада ренин-</w:t>
      </w:r>
      <w:proofErr w:type="spellStart"/>
      <w:r w:rsidRPr="00F547D3">
        <w:rPr>
          <w:rFonts w:ascii="Times New Roman" w:hAnsi="Times New Roman"/>
          <w:sz w:val="28"/>
          <w:szCs w:val="28"/>
        </w:rPr>
        <w:t>ангиотензин</w:t>
      </w:r>
      <w:proofErr w:type="spellEnd"/>
      <w:r w:rsidRPr="00F547D3">
        <w:rPr>
          <w:rFonts w:ascii="Times New Roman" w:hAnsi="Times New Roman"/>
          <w:sz w:val="28"/>
          <w:szCs w:val="28"/>
        </w:rPr>
        <w:t>-</w:t>
      </w:r>
      <w:proofErr w:type="spellStart"/>
      <w:r w:rsidRPr="00F547D3">
        <w:rPr>
          <w:rFonts w:ascii="Times New Roman" w:hAnsi="Times New Roman"/>
          <w:sz w:val="28"/>
          <w:szCs w:val="28"/>
        </w:rPr>
        <w:t>альдостероновой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системы (РААС) за счет комбинированного применения ингибиторов АКФ, блокаторов рецепторов </w:t>
      </w:r>
      <w:proofErr w:type="spellStart"/>
      <w:r w:rsidRPr="00F547D3">
        <w:rPr>
          <w:rFonts w:ascii="Times New Roman" w:hAnsi="Times New Roman"/>
          <w:sz w:val="28"/>
          <w:szCs w:val="28"/>
        </w:rPr>
        <w:t>ангиотензина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II или </w:t>
      </w:r>
      <w:proofErr w:type="spellStart"/>
      <w:r w:rsidRPr="00F547D3">
        <w:rPr>
          <w:rFonts w:ascii="Times New Roman" w:hAnsi="Times New Roman"/>
          <w:sz w:val="28"/>
          <w:szCs w:val="28"/>
        </w:rPr>
        <w:t>алискирена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связана с более высокой частотой побочных эффектов, таких как гипотензия, </w:t>
      </w:r>
      <w:proofErr w:type="spellStart"/>
      <w:r w:rsidRPr="00F547D3">
        <w:rPr>
          <w:rFonts w:ascii="Times New Roman" w:hAnsi="Times New Roman"/>
          <w:sz w:val="28"/>
          <w:szCs w:val="28"/>
        </w:rPr>
        <w:t>гипокалиемия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и снижение функции почек. функции (включая острую почечную недостаточность) по сравнению с применением одного препарата, действующего на РААС.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547D3">
        <w:rPr>
          <w:rFonts w:ascii="Times New Roman" w:hAnsi="Times New Roman"/>
          <w:i/>
          <w:sz w:val="28"/>
          <w:szCs w:val="28"/>
        </w:rPr>
        <w:t>Альфа-блокирующие агенты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Одновременное применение альфа-блокирующих агентов может усиливать </w:t>
      </w:r>
      <w:proofErr w:type="spellStart"/>
      <w:r w:rsidRPr="00F547D3">
        <w:rPr>
          <w:rFonts w:ascii="Times New Roman" w:hAnsi="Times New Roman"/>
          <w:sz w:val="28"/>
          <w:szCs w:val="28"/>
        </w:rPr>
        <w:t>антигипертензивный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эффект </w:t>
      </w:r>
      <w:proofErr w:type="spellStart"/>
      <w:r w:rsidRPr="00F547D3">
        <w:rPr>
          <w:rFonts w:ascii="Times New Roman" w:hAnsi="Times New Roman"/>
          <w:sz w:val="28"/>
          <w:szCs w:val="28"/>
        </w:rPr>
        <w:t>каптоприла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и увеличивать риск ортостатической гипотензии.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547D3">
        <w:rPr>
          <w:rFonts w:ascii="Times New Roman" w:hAnsi="Times New Roman"/>
          <w:i/>
          <w:sz w:val="28"/>
          <w:szCs w:val="28"/>
        </w:rPr>
        <w:t>Лечение острого инфаркта миокарда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lastRenderedPageBreak/>
        <w:t xml:space="preserve">Каптоприл можно принимать одновременно с ацетилсалициловой кислотой (в кардиологических дозах), </w:t>
      </w:r>
      <w:proofErr w:type="spellStart"/>
      <w:r w:rsidRPr="00F547D3">
        <w:rPr>
          <w:rFonts w:ascii="Times New Roman" w:hAnsi="Times New Roman"/>
          <w:sz w:val="28"/>
          <w:szCs w:val="28"/>
        </w:rPr>
        <w:t>тромболитиками</w:t>
      </w:r>
      <w:proofErr w:type="spellEnd"/>
      <w:r w:rsidRPr="00F547D3">
        <w:rPr>
          <w:rFonts w:ascii="Times New Roman" w:hAnsi="Times New Roman"/>
          <w:sz w:val="28"/>
          <w:szCs w:val="28"/>
        </w:rPr>
        <w:t>, бета-блокаторами и/или нитратами пациентам с инфарктом миокарда.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547D3">
        <w:rPr>
          <w:rFonts w:ascii="Times New Roman" w:hAnsi="Times New Roman"/>
          <w:i/>
          <w:sz w:val="28"/>
          <w:szCs w:val="28"/>
        </w:rPr>
        <w:t>Трициклические антидепрессанты/антипсихотики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Ингибиторы АКФ могут усиливать гипотензивное действие некоторых трициклических антидепрессантов и антипсихотиков. Возможна постуральная гипотензия. 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547D3">
        <w:rPr>
          <w:rFonts w:ascii="Times New Roman" w:hAnsi="Times New Roman"/>
          <w:i/>
          <w:sz w:val="28"/>
          <w:szCs w:val="28"/>
        </w:rPr>
        <w:t>Аллопуринол</w:t>
      </w:r>
      <w:proofErr w:type="spellEnd"/>
      <w:r w:rsidRPr="00F547D3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F547D3">
        <w:rPr>
          <w:rFonts w:ascii="Times New Roman" w:hAnsi="Times New Roman"/>
          <w:i/>
          <w:sz w:val="28"/>
          <w:szCs w:val="28"/>
        </w:rPr>
        <w:t>прокаинамид</w:t>
      </w:r>
      <w:proofErr w:type="spellEnd"/>
      <w:r w:rsidRPr="00F547D3">
        <w:rPr>
          <w:rFonts w:ascii="Times New Roman" w:hAnsi="Times New Roman"/>
          <w:i/>
          <w:sz w:val="28"/>
          <w:szCs w:val="28"/>
        </w:rPr>
        <w:t xml:space="preserve">, цитостатические или </w:t>
      </w:r>
      <w:proofErr w:type="spellStart"/>
      <w:r w:rsidRPr="00F547D3">
        <w:rPr>
          <w:rFonts w:ascii="Times New Roman" w:hAnsi="Times New Roman"/>
          <w:i/>
          <w:sz w:val="28"/>
          <w:szCs w:val="28"/>
        </w:rPr>
        <w:t>иммуносупрессивные</w:t>
      </w:r>
      <w:proofErr w:type="spellEnd"/>
      <w:r w:rsidRPr="00F547D3">
        <w:rPr>
          <w:rFonts w:ascii="Times New Roman" w:hAnsi="Times New Roman"/>
          <w:i/>
          <w:sz w:val="28"/>
          <w:szCs w:val="28"/>
        </w:rPr>
        <w:t xml:space="preserve"> препараты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>Одновременное применение с ингибиторами АКФ может привести к повышенному риску лейкопении, особенно когда последние применялись в дозах, превышающих рекомендуемые.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547D3">
        <w:rPr>
          <w:rFonts w:ascii="Times New Roman" w:hAnsi="Times New Roman"/>
          <w:i/>
          <w:sz w:val="28"/>
          <w:szCs w:val="28"/>
        </w:rPr>
        <w:t>Симпатомиметики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Симпатомиметики могут уменьшить </w:t>
      </w:r>
      <w:proofErr w:type="spellStart"/>
      <w:r w:rsidRPr="00F547D3">
        <w:rPr>
          <w:rFonts w:ascii="Times New Roman" w:hAnsi="Times New Roman"/>
          <w:sz w:val="28"/>
          <w:szCs w:val="28"/>
        </w:rPr>
        <w:t>антигипертензивное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действие ингибиторов АКФ. Требуется тщательное наблюдение за состоянием пациентов.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547D3">
        <w:rPr>
          <w:rFonts w:ascii="Times New Roman" w:hAnsi="Times New Roman"/>
          <w:i/>
          <w:sz w:val="28"/>
          <w:szCs w:val="28"/>
        </w:rPr>
        <w:t xml:space="preserve">Противодиабетические средства 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Ингибиторы АКФ, включая </w:t>
      </w:r>
      <w:proofErr w:type="spellStart"/>
      <w:r w:rsidRPr="00F547D3">
        <w:rPr>
          <w:rFonts w:ascii="Times New Roman" w:hAnsi="Times New Roman"/>
          <w:sz w:val="28"/>
          <w:szCs w:val="28"/>
        </w:rPr>
        <w:t>каптоприл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, могут усиливать </w:t>
      </w:r>
      <w:proofErr w:type="spellStart"/>
      <w:r w:rsidRPr="00F547D3">
        <w:rPr>
          <w:rFonts w:ascii="Times New Roman" w:hAnsi="Times New Roman"/>
          <w:sz w:val="28"/>
          <w:szCs w:val="28"/>
        </w:rPr>
        <w:t>глюкозо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-снижающий эффект инсулина и пероральных противодиабетических средств, таких как </w:t>
      </w:r>
      <w:proofErr w:type="spellStart"/>
      <w:r w:rsidRPr="00F547D3">
        <w:rPr>
          <w:rFonts w:ascii="Times New Roman" w:hAnsi="Times New Roman"/>
          <w:sz w:val="28"/>
          <w:szCs w:val="28"/>
        </w:rPr>
        <w:t>сульфонилмочевина</w:t>
      </w:r>
      <w:proofErr w:type="spellEnd"/>
      <w:r w:rsidRPr="00F547D3">
        <w:rPr>
          <w:rFonts w:ascii="Times New Roman" w:hAnsi="Times New Roman"/>
          <w:sz w:val="28"/>
          <w:szCs w:val="28"/>
        </w:rPr>
        <w:t>, у пациентов с сахарным диабетом. Такой эффект встречается очень редко, но при его возникновении появляется необходимость снижения дозы антидиабетических препаратов при одновременном лечении ингибиторами АКФ.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547D3">
        <w:rPr>
          <w:rFonts w:ascii="Times New Roman" w:hAnsi="Times New Roman"/>
          <w:i/>
          <w:sz w:val="28"/>
          <w:szCs w:val="28"/>
        </w:rPr>
        <w:t xml:space="preserve">Блокаторы рецепторов </w:t>
      </w:r>
      <w:proofErr w:type="spellStart"/>
      <w:r w:rsidRPr="00F547D3">
        <w:rPr>
          <w:rFonts w:ascii="Times New Roman" w:hAnsi="Times New Roman"/>
          <w:i/>
          <w:sz w:val="28"/>
          <w:szCs w:val="28"/>
        </w:rPr>
        <w:t>ангиотензина</w:t>
      </w:r>
      <w:proofErr w:type="spellEnd"/>
      <w:r w:rsidRPr="00F547D3">
        <w:rPr>
          <w:rFonts w:ascii="Times New Roman" w:hAnsi="Times New Roman"/>
          <w:i/>
          <w:sz w:val="28"/>
          <w:szCs w:val="28"/>
        </w:rPr>
        <w:t xml:space="preserve"> II или </w:t>
      </w:r>
      <w:proofErr w:type="spellStart"/>
      <w:r w:rsidRPr="00F547D3">
        <w:rPr>
          <w:rFonts w:ascii="Times New Roman" w:hAnsi="Times New Roman"/>
          <w:i/>
          <w:sz w:val="28"/>
          <w:szCs w:val="28"/>
        </w:rPr>
        <w:t>алискирен</w:t>
      </w:r>
      <w:proofErr w:type="spellEnd"/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>Двойная блокада ренин-</w:t>
      </w:r>
      <w:proofErr w:type="spellStart"/>
      <w:r w:rsidRPr="00F547D3">
        <w:rPr>
          <w:rFonts w:ascii="Times New Roman" w:hAnsi="Times New Roman"/>
          <w:sz w:val="28"/>
          <w:szCs w:val="28"/>
        </w:rPr>
        <w:t>ангиотензин</w:t>
      </w:r>
      <w:proofErr w:type="spellEnd"/>
      <w:r w:rsidRPr="00F547D3">
        <w:rPr>
          <w:rFonts w:ascii="Times New Roman" w:hAnsi="Times New Roman"/>
          <w:sz w:val="28"/>
          <w:szCs w:val="28"/>
        </w:rPr>
        <w:t>-</w:t>
      </w:r>
      <w:proofErr w:type="spellStart"/>
      <w:r w:rsidRPr="00F547D3">
        <w:rPr>
          <w:rFonts w:ascii="Times New Roman" w:hAnsi="Times New Roman"/>
          <w:sz w:val="28"/>
          <w:szCs w:val="28"/>
        </w:rPr>
        <w:t>альдостероновой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системы (РААС), развивающаяся вследствие комбинированного применения ингибиторов АКФ, блокаторов рецепторов </w:t>
      </w:r>
      <w:proofErr w:type="spellStart"/>
      <w:r w:rsidRPr="00F547D3">
        <w:rPr>
          <w:rFonts w:ascii="Times New Roman" w:hAnsi="Times New Roman"/>
          <w:sz w:val="28"/>
          <w:szCs w:val="28"/>
        </w:rPr>
        <w:t>ангиотензина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II или </w:t>
      </w:r>
      <w:proofErr w:type="spellStart"/>
      <w:r w:rsidRPr="00F547D3">
        <w:rPr>
          <w:rFonts w:ascii="Times New Roman" w:hAnsi="Times New Roman"/>
          <w:sz w:val="28"/>
          <w:szCs w:val="28"/>
        </w:rPr>
        <w:t>алискирена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, связана с более высокой частотой развития таких побочных реакций, как артериальная гипотензия, </w:t>
      </w:r>
      <w:proofErr w:type="spellStart"/>
      <w:r w:rsidRPr="00F547D3">
        <w:rPr>
          <w:rFonts w:ascii="Times New Roman" w:hAnsi="Times New Roman"/>
          <w:sz w:val="28"/>
          <w:szCs w:val="28"/>
        </w:rPr>
        <w:t>гиперкалиемия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и снижение функции почек (включая острую почечную недостаточность) по сравнению с </w:t>
      </w:r>
      <w:proofErr w:type="spellStart"/>
      <w:r w:rsidRPr="00F547D3">
        <w:rPr>
          <w:rFonts w:ascii="Times New Roman" w:hAnsi="Times New Roman"/>
          <w:sz w:val="28"/>
          <w:szCs w:val="28"/>
        </w:rPr>
        <w:t>монотерапией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средствами, влияющими на РААС.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b/>
          <w:i/>
          <w:sz w:val="28"/>
          <w:szCs w:val="28"/>
        </w:rPr>
        <w:t>Гидрохлоротиазид</w:t>
      </w:r>
      <w:r w:rsidRPr="00F547D3">
        <w:rPr>
          <w:rFonts w:ascii="Times New Roman" w:hAnsi="Times New Roman"/>
          <w:sz w:val="28"/>
          <w:szCs w:val="28"/>
        </w:rPr>
        <w:t xml:space="preserve"> 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547D3">
        <w:rPr>
          <w:rFonts w:ascii="Times New Roman" w:hAnsi="Times New Roman"/>
          <w:i/>
          <w:sz w:val="28"/>
          <w:szCs w:val="28"/>
        </w:rPr>
        <w:t>Амфотерицин</w:t>
      </w:r>
      <w:proofErr w:type="spellEnd"/>
      <w:r w:rsidRPr="00F547D3">
        <w:rPr>
          <w:rFonts w:ascii="Times New Roman" w:hAnsi="Times New Roman"/>
          <w:i/>
          <w:sz w:val="28"/>
          <w:szCs w:val="28"/>
        </w:rPr>
        <w:t xml:space="preserve"> Б (парентерально), </w:t>
      </w:r>
      <w:proofErr w:type="spellStart"/>
      <w:r w:rsidRPr="00F547D3">
        <w:rPr>
          <w:rFonts w:ascii="Times New Roman" w:hAnsi="Times New Roman"/>
          <w:i/>
          <w:sz w:val="28"/>
          <w:szCs w:val="28"/>
        </w:rPr>
        <w:t>карбеноксолон</w:t>
      </w:r>
      <w:proofErr w:type="spellEnd"/>
      <w:r w:rsidRPr="00F547D3">
        <w:rPr>
          <w:rFonts w:ascii="Times New Roman" w:hAnsi="Times New Roman"/>
          <w:i/>
          <w:sz w:val="28"/>
          <w:szCs w:val="28"/>
        </w:rPr>
        <w:t>, кортикостероиды и кортикотропин (адренокортикотропный гормон) или стимулирующие слабительные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Гидрохлоротиазид может способствовать нарушению электролитного баланса, главным образом, развитию </w:t>
      </w:r>
      <w:proofErr w:type="spellStart"/>
      <w:r w:rsidRPr="00F547D3">
        <w:rPr>
          <w:rFonts w:ascii="Times New Roman" w:hAnsi="Times New Roman"/>
          <w:sz w:val="28"/>
          <w:szCs w:val="28"/>
        </w:rPr>
        <w:t>гипокалиемии</w:t>
      </w:r>
      <w:proofErr w:type="spellEnd"/>
      <w:r w:rsidRPr="00F547D3">
        <w:rPr>
          <w:rFonts w:ascii="Times New Roman" w:hAnsi="Times New Roman"/>
          <w:sz w:val="28"/>
          <w:szCs w:val="28"/>
        </w:rPr>
        <w:t>.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547D3">
        <w:rPr>
          <w:rFonts w:ascii="Times New Roman" w:hAnsi="Times New Roman"/>
          <w:i/>
          <w:sz w:val="28"/>
          <w:szCs w:val="28"/>
        </w:rPr>
        <w:t>Соли кальция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В присутствии </w:t>
      </w:r>
      <w:proofErr w:type="spellStart"/>
      <w:r w:rsidRPr="00F547D3">
        <w:rPr>
          <w:rFonts w:ascii="Times New Roman" w:hAnsi="Times New Roman"/>
          <w:sz w:val="28"/>
          <w:szCs w:val="28"/>
        </w:rPr>
        <w:t>тиазидных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диуретиков концентрация кальция в крови может повышаться за счет уменьшения его выведения из организма.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547D3">
        <w:rPr>
          <w:rFonts w:ascii="Times New Roman" w:hAnsi="Times New Roman"/>
          <w:i/>
          <w:sz w:val="28"/>
          <w:szCs w:val="28"/>
        </w:rPr>
        <w:t>Сердечные гликозиды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Токсичность препаратов наперстянки может повышаться на фоне </w:t>
      </w:r>
      <w:proofErr w:type="spellStart"/>
      <w:r w:rsidRPr="00F547D3">
        <w:rPr>
          <w:rFonts w:ascii="Times New Roman" w:hAnsi="Times New Roman"/>
          <w:sz w:val="28"/>
          <w:szCs w:val="28"/>
        </w:rPr>
        <w:t>гипокалиемии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, вызванной </w:t>
      </w:r>
      <w:proofErr w:type="spellStart"/>
      <w:r w:rsidRPr="00F547D3">
        <w:rPr>
          <w:rFonts w:ascii="Times New Roman" w:hAnsi="Times New Roman"/>
          <w:sz w:val="28"/>
          <w:szCs w:val="28"/>
        </w:rPr>
        <w:t>гидрохлоротиазидом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. 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547D3">
        <w:rPr>
          <w:rFonts w:ascii="Times New Roman" w:hAnsi="Times New Roman"/>
          <w:i/>
          <w:sz w:val="28"/>
          <w:szCs w:val="28"/>
        </w:rPr>
        <w:t>Холестирамин</w:t>
      </w:r>
      <w:proofErr w:type="spellEnd"/>
      <w:r w:rsidRPr="00F547D3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Pr="00F547D3">
        <w:rPr>
          <w:rFonts w:ascii="Times New Roman" w:hAnsi="Times New Roman"/>
          <w:i/>
          <w:sz w:val="28"/>
          <w:szCs w:val="28"/>
        </w:rPr>
        <w:t>колестипол</w:t>
      </w:r>
      <w:proofErr w:type="spellEnd"/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lastRenderedPageBreak/>
        <w:t xml:space="preserve">Могут задерживать или снижать всасывание </w:t>
      </w:r>
      <w:proofErr w:type="spellStart"/>
      <w:r w:rsidRPr="00F547D3">
        <w:rPr>
          <w:rFonts w:ascii="Times New Roman" w:hAnsi="Times New Roman"/>
          <w:sz w:val="28"/>
          <w:szCs w:val="28"/>
        </w:rPr>
        <w:t>гидрохлоротиазида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547D3">
        <w:rPr>
          <w:rFonts w:ascii="Times New Roman" w:hAnsi="Times New Roman"/>
          <w:sz w:val="28"/>
          <w:szCs w:val="28"/>
        </w:rPr>
        <w:t>Сульфонамидные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диуретики следует принимать, по крайней мере, за один час до этих препаратов или через 4-6 часов после их приема.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47D3">
        <w:rPr>
          <w:rFonts w:ascii="Times New Roman" w:hAnsi="Times New Roman"/>
          <w:i/>
          <w:sz w:val="28"/>
          <w:szCs w:val="28"/>
        </w:rPr>
        <w:t>Недеполяризующие</w:t>
      </w:r>
      <w:proofErr w:type="spellEnd"/>
      <w:r w:rsidRPr="00F547D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547D3">
        <w:rPr>
          <w:rFonts w:ascii="Times New Roman" w:hAnsi="Times New Roman"/>
          <w:i/>
          <w:sz w:val="28"/>
          <w:szCs w:val="28"/>
        </w:rPr>
        <w:t>миорелаксанты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(например, </w:t>
      </w:r>
      <w:proofErr w:type="spellStart"/>
      <w:r w:rsidRPr="00F547D3">
        <w:rPr>
          <w:rFonts w:ascii="Times New Roman" w:hAnsi="Times New Roman"/>
          <w:sz w:val="28"/>
          <w:szCs w:val="28"/>
        </w:rPr>
        <w:t>тубокурарина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хлорид): действие этих средств может усиливаться при одновременном применении с </w:t>
      </w:r>
      <w:proofErr w:type="spellStart"/>
      <w:r w:rsidRPr="00F547D3">
        <w:rPr>
          <w:rFonts w:ascii="Times New Roman" w:hAnsi="Times New Roman"/>
          <w:sz w:val="28"/>
          <w:szCs w:val="28"/>
        </w:rPr>
        <w:t>гидрохлоротиазидом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. 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547D3">
        <w:rPr>
          <w:rFonts w:ascii="Times New Roman" w:hAnsi="Times New Roman"/>
          <w:i/>
          <w:sz w:val="28"/>
          <w:szCs w:val="28"/>
        </w:rPr>
        <w:t xml:space="preserve">Препараты, вызывающие </w:t>
      </w:r>
      <w:proofErr w:type="spellStart"/>
      <w:r w:rsidRPr="00F547D3">
        <w:rPr>
          <w:rFonts w:ascii="Times New Roman" w:hAnsi="Times New Roman"/>
          <w:i/>
          <w:sz w:val="28"/>
          <w:szCs w:val="28"/>
        </w:rPr>
        <w:t>torsades</w:t>
      </w:r>
      <w:proofErr w:type="spellEnd"/>
      <w:r w:rsidRPr="00F547D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547D3">
        <w:rPr>
          <w:rFonts w:ascii="Times New Roman" w:hAnsi="Times New Roman"/>
          <w:i/>
          <w:sz w:val="28"/>
          <w:szCs w:val="28"/>
        </w:rPr>
        <w:t>de</w:t>
      </w:r>
      <w:proofErr w:type="spellEnd"/>
      <w:r w:rsidRPr="00F547D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547D3">
        <w:rPr>
          <w:rFonts w:ascii="Times New Roman" w:hAnsi="Times New Roman"/>
          <w:i/>
          <w:sz w:val="28"/>
          <w:szCs w:val="28"/>
        </w:rPr>
        <w:t>pointes</w:t>
      </w:r>
      <w:proofErr w:type="spellEnd"/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В связи с риском развития </w:t>
      </w:r>
      <w:proofErr w:type="spellStart"/>
      <w:r w:rsidRPr="00F547D3">
        <w:rPr>
          <w:rFonts w:ascii="Times New Roman" w:hAnsi="Times New Roman"/>
          <w:sz w:val="28"/>
          <w:szCs w:val="28"/>
        </w:rPr>
        <w:t>гипокалиемии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следует соблюдать осторожность при совместном применении </w:t>
      </w:r>
      <w:proofErr w:type="spellStart"/>
      <w:r w:rsidRPr="00F547D3">
        <w:rPr>
          <w:rFonts w:ascii="Times New Roman" w:hAnsi="Times New Roman"/>
          <w:sz w:val="28"/>
          <w:szCs w:val="28"/>
        </w:rPr>
        <w:t>гидрохлоротиазида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с лекарственными средствами, вызывающими аритмию типа </w:t>
      </w:r>
      <w:proofErr w:type="spellStart"/>
      <w:r w:rsidRPr="00F547D3">
        <w:rPr>
          <w:rFonts w:ascii="Times New Roman" w:hAnsi="Times New Roman"/>
          <w:sz w:val="28"/>
          <w:szCs w:val="28"/>
        </w:rPr>
        <w:t>torsades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47D3">
        <w:rPr>
          <w:rFonts w:ascii="Times New Roman" w:hAnsi="Times New Roman"/>
          <w:sz w:val="28"/>
          <w:szCs w:val="28"/>
        </w:rPr>
        <w:t>de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47D3">
        <w:rPr>
          <w:rFonts w:ascii="Times New Roman" w:hAnsi="Times New Roman"/>
          <w:sz w:val="28"/>
          <w:szCs w:val="28"/>
        </w:rPr>
        <w:t>pointes</w:t>
      </w:r>
      <w:proofErr w:type="spellEnd"/>
      <w:r w:rsidRPr="00F547D3">
        <w:rPr>
          <w:rFonts w:ascii="Times New Roman" w:hAnsi="Times New Roman"/>
          <w:sz w:val="28"/>
          <w:szCs w:val="28"/>
        </w:rPr>
        <w:t>, такими как некоторые антиаритмические и антипсихотические средства и другие.</w:t>
      </w:r>
      <w:r w:rsidRPr="00F547D3">
        <w:rPr>
          <w:rFonts w:ascii="Times New Roman" w:hAnsi="Times New Roman"/>
          <w:i/>
          <w:sz w:val="28"/>
          <w:szCs w:val="28"/>
        </w:rPr>
        <w:t xml:space="preserve"> 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547D3">
        <w:rPr>
          <w:rFonts w:ascii="Times New Roman" w:hAnsi="Times New Roman"/>
          <w:i/>
          <w:sz w:val="28"/>
          <w:szCs w:val="28"/>
        </w:rPr>
        <w:t>Карбамазепин</w:t>
      </w:r>
      <w:proofErr w:type="spellEnd"/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Совместное применение </w:t>
      </w:r>
      <w:proofErr w:type="spellStart"/>
      <w:r w:rsidRPr="00F547D3">
        <w:rPr>
          <w:rFonts w:ascii="Times New Roman" w:hAnsi="Times New Roman"/>
          <w:sz w:val="28"/>
          <w:szCs w:val="28"/>
        </w:rPr>
        <w:t>карбамазепина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547D3">
        <w:rPr>
          <w:rFonts w:ascii="Times New Roman" w:hAnsi="Times New Roman"/>
          <w:sz w:val="28"/>
          <w:szCs w:val="28"/>
        </w:rPr>
        <w:t>гидрохлоротиазида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связано с риском развития симптоматической </w:t>
      </w:r>
      <w:proofErr w:type="spellStart"/>
      <w:r w:rsidRPr="00F547D3">
        <w:rPr>
          <w:rFonts w:ascii="Times New Roman" w:hAnsi="Times New Roman"/>
          <w:sz w:val="28"/>
          <w:szCs w:val="28"/>
        </w:rPr>
        <w:t>гипонатриемии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. При их совместном применении необходимо </w:t>
      </w:r>
      <w:proofErr w:type="spellStart"/>
      <w:r w:rsidRPr="00F547D3">
        <w:rPr>
          <w:rFonts w:ascii="Times New Roman" w:hAnsi="Times New Roman"/>
          <w:sz w:val="28"/>
          <w:szCs w:val="28"/>
        </w:rPr>
        <w:t>мониторировать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содержание электролитов в крови. По возможности необходимо использовать диуретики другой группы. 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547D3">
        <w:rPr>
          <w:rFonts w:ascii="Times New Roman" w:hAnsi="Times New Roman"/>
          <w:b/>
          <w:i/>
          <w:sz w:val="28"/>
          <w:szCs w:val="28"/>
        </w:rPr>
        <w:t>Комбинация каптоприл/гидрохлоротиазид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547D3">
        <w:rPr>
          <w:rFonts w:ascii="Times New Roman" w:hAnsi="Times New Roman"/>
          <w:i/>
          <w:sz w:val="28"/>
          <w:szCs w:val="28"/>
        </w:rPr>
        <w:t>Литий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Одновременное применение ингибиторов АКФ и лития может привести к временному повышению уровня лития в сыворотке крови и интоксикации литием. Комбинирование с </w:t>
      </w:r>
      <w:proofErr w:type="spellStart"/>
      <w:r w:rsidRPr="00F547D3">
        <w:rPr>
          <w:rFonts w:ascii="Times New Roman" w:hAnsi="Times New Roman"/>
          <w:sz w:val="28"/>
          <w:szCs w:val="28"/>
        </w:rPr>
        <w:t>тиазидными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диуретиками может увеличить риск обнаружения токсичности лития или усложнить уже существующую интоксикацию литием, связанную с приемом ингибиторов АКФ. Не рекомендуется одновременное применение </w:t>
      </w:r>
      <w:proofErr w:type="spellStart"/>
      <w:r w:rsidRPr="00F547D3">
        <w:rPr>
          <w:rFonts w:ascii="Times New Roman" w:hAnsi="Times New Roman"/>
          <w:sz w:val="28"/>
          <w:szCs w:val="28"/>
        </w:rPr>
        <w:t>каптоприла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и лития, однако если такая комбинация необходима, следует строго контролировать уровень лития в сыворотке крови. 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547D3">
        <w:rPr>
          <w:rFonts w:ascii="Times New Roman" w:hAnsi="Times New Roman"/>
          <w:i/>
          <w:sz w:val="28"/>
          <w:szCs w:val="28"/>
        </w:rPr>
        <w:t>Нестероидные противовоспалительные препараты (НПВП)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НПВП и ингибиторы АКФ имеют аддитивный эффект на повышение уровня сывороточного калия и могут привести к нарушению функции почек. Эти эффекты обычно обратимы. Редко возможно развитие острой почечной недостаточности, особенно у пациентов с уже нарушенной функцией почек - обезвоженных пациентов и лиц пожилого возраста. Длительное применение НПВП может снизить </w:t>
      </w:r>
      <w:proofErr w:type="spellStart"/>
      <w:r w:rsidRPr="00F547D3">
        <w:rPr>
          <w:rFonts w:ascii="Times New Roman" w:hAnsi="Times New Roman"/>
          <w:sz w:val="28"/>
          <w:szCs w:val="28"/>
        </w:rPr>
        <w:t>антигипертензивный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эффект ингибиторов АКФ. Применение НПВП может уменьшить диуретический, натрийуретический и </w:t>
      </w:r>
      <w:proofErr w:type="spellStart"/>
      <w:r w:rsidRPr="00F547D3">
        <w:rPr>
          <w:rFonts w:ascii="Times New Roman" w:hAnsi="Times New Roman"/>
          <w:sz w:val="28"/>
          <w:szCs w:val="28"/>
        </w:rPr>
        <w:t>антигипертензивный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эффект </w:t>
      </w:r>
      <w:proofErr w:type="spellStart"/>
      <w:r w:rsidRPr="00F547D3">
        <w:rPr>
          <w:rFonts w:ascii="Times New Roman" w:hAnsi="Times New Roman"/>
          <w:sz w:val="28"/>
          <w:szCs w:val="28"/>
        </w:rPr>
        <w:t>тиазидных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диуретиков. 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547D3">
        <w:rPr>
          <w:rFonts w:ascii="Times New Roman" w:hAnsi="Times New Roman"/>
          <w:i/>
          <w:sz w:val="28"/>
          <w:szCs w:val="28"/>
        </w:rPr>
        <w:t>Лабораторные исследования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Применение </w:t>
      </w:r>
      <w:proofErr w:type="spellStart"/>
      <w:r w:rsidRPr="00F547D3">
        <w:rPr>
          <w:rFonts w:ascii="Times New Roman" w:eastAsia="Times New Roman" w:hAnsi="Times New Roman"/>
          <w:sz w:val="28"/>
          <w:szCs w:val="28"/>
          <w:lang w:eastAsia="ru-RU"/>
        </w:rPr>
        <w:t>каптоприла</w:t>
      </w:r>
      <w:proofErr w:type="spellEnd"/>
      <w:r w:rsidRPr="00F547D3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привести к ложноположительному результату при анализе мочи на ацетон.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Гидрохлоротиазид может искажать результаты теста с </w:t>
      </w:r>
      <w:proofErr w:type="spellStart"/>
      <w:r w:rsidRPr="00F547D3">
        <w:rPr>
          <w:rFonts w:ascii="Times New Roman" w:hAnsi="Times New Roman"/>
          <w:sz w:val="28"/>
          <w:szCs w:val="28"/>
        </w:rPr>
        <w:t>бентиромидом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. </w:t>
      </w:r>
    </w:p>
    <w:p w:rsidR="006B04E7" w:rsidRPr="00F547D3" w:rsidRDefault="006B04E7" w:rsidP="006B0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47D3">
        <w:rPr>
          <w:rFonts w:ascii="Times New Roman" w:hAnsi="Times New Roman"/>
          <w:sz w:val="28"/>
          <w:szCs w:val="28"/>
        </w:rPr>
        <w:t>Тиазиды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могут снижать уровни PBI (белка, связанного с белком) в сыворотке без признаков нарушения функции щитовидной железы.</w:t>
      </w:r>
    </w:p>
    <w:p w:rsidR="00D43297" w:rsidRPr="00F547D3" w:rsidRDefault="00D43297" w:rsidP="003F008B">
      <w:pPr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 w:rsidRPr="00F547D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  <w:r w:rsidR="0017054A" w:rsidRPr="00F547D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2B10FD" w:rsidRPr="00F547D3" w:rsidRDefault="002B10FD" w:rsidP="002B10F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47D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Лактоза</w:t>
      </w:r>
    </w:p>
    <w:p w:rsidR="002B10FD" w:rsidRPr="00F547D3" w:rsidRDefault="002B10FD" w:rsidP="002B10FD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547D3"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 xml:space="preserve">Лекарственное средство содержит лактозу, поэтому пациентам с редкими наследственными формами непереносимости галактозы, недостаточностью </w:t>
      </w:r>
      <w:proofErr w:type="spellStart"/>
      <w:r w:rsidRPr="00F547D3">
        <w:rPr>
          <w:rFonts w:ascii="Times New Roman" w:eastAsia="Arial Unicode MS" w:hAnsi="Times New Roman"/>
          <w:sz w:val="28"/>
          <w:szCs w:val="28"/>
          <w:lang w:eastAsia="ru-RU"/>
        </w:rPr>
        <w:t>лактазы</w:t>
      </w:r>
      <w:proofErr w:type="spellEnd"/>
      <w:r w:rsidRPr="00F547D3">
        <w:rPr>
          <w:rFonts w:ascii="Times New Roman" w:eastAsia="Arial Unicode MS" w:hAnsi="Times New Roman"/>
          <w:sz w:val="28"/>
          <w:szCs w:val="28"/>
          <w:lang w:eastAsia="ru-RU"/>
        </w:rPr>
        <w:t xml:space="preserve"> или синдромом </w:t>
      </w:r>
      <w:proofErr w:type="spellStart"/>
      <w:r w:rsidRPr="00F547D3">
        <w:rPr>
          <w:rFonts w:ascii="Times New Roman" w:eastAsia="Arial Unicode MS" w:hAnsi="Times New Roman"/>
          <w:sz w:val="28"/>
          <w:szCs w:val="28"/>
          <w:lang w:eastAsia="ru-RU"/>
        </w:rPr>
        <w:t>глюкозо-галактозной</w:t>
      </w:r>
      <w:proofErr w:type="spellEnd"/>
      <w:r w:rsidRPr="00F547D3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proofErr w:type="spellStart"/>
      <w:r w:rsidRPr="00F547D3">
        <w:rPr>
          <w:rFonts w:ascii="Times New Roman" w:eastAsia="Arial Unicode MS" w:hAnsi="Times New Roman"/>
          <w:sz w:val="28"/>
          <w:szCs w:val="28"/>
          <w:lang w:eastAsia="ru-RU"/>
        </w:rPr>
        <w:t>мальабсорбции</w:t>
      </w:r>
      <w:proofErr w:type="spellEnd"/>
      <w:r w:rsidRPr="00F547D3">
        <w:rPr>
          <w:rFonts w:ascii="Times New Roman" w:eastAsia="Arial Unicode MS" w:hAnsi="Times New Roman"/>
          <w:sz w:val="28"/>
          <w:szCs w:val="28"/>
          <w:lang w:eastAsia="ru-RU"/>
        </w:rPr>
        <w:t xml:space="preserve"> не следует принимать этот препарат.</w:t>
      </w:r>
    </w:p>
    <w:p w:rsidR="00266205" w:rsidRPr="00F547D3" w:rsidRDefault="00266205" w:rsidP="0026620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547D3">
        <w:rPr>
          <w:rFonts w:ascii="Times New Roman" w:hAnsi="Times New Roman"/>
          <w:i/>
          <w:sz w:val="28"/>
          <w:szCs w:val="28"/>
        </w:rPr>
        <w:t>Во время беременности или лактации</w:t>
      </w:r>
    </w:p>
    <w:p w:rsidR="006B04E7" w:rsidRPr="00F547D3" w:rsidRDefault="006B04E7" w:rsidP="000458C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547D3">
        <w:rPr>
          <w:rFonts w:ascii="Times New Roman" w:hAnsi="Times New Roman"/>
          <w:i/>
          <w:sz w:val="28"/>
          <w:szCs w:val="28"/>
        </w:rPr>
        <w:t>Ингибиторы АКФ</w:t>
      </w:r>
    </w:p>
    <w:p w:rsidR="000458C8" w:rsidRPr="00F547D3" w:rsidRDefault="006B04E7" w:rsidP="000458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>Использование ингибиторов АКФ не рекомендуется в первом триместре беременности. Применение ингибиторов АКФ противопоказано во втором и третьем триместре беременности.</w:t>
      </w:r>
    </w:p>
    <w:p w:rsidR="0038504E" w:rsidRPr="00F547D3" w:rsidRDefault="0038504E" w:rsidP="00385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7D3">
        <w:rPr>
          <w:rFonts w:ascii="Times New Roman" w:eastAsia="Times New Roman" w:hAnsi="Times New Roman"/>
          <w:sz w:val="28"/>
          <w:szCs w:val="28"/>
          <w:lang w:eastAsia="ru-RU"/>
        </w:rPr>
        <w:t>При подтверждении беременности лечение с применением ингибиторов АКФ должно быть немедленно прекращено, и, при необходимости, должно быть начато применение альтернативной терапии.</w:t>
      </w:r>
    </w:p>
    <w:p w:rsidR="0038504E" w:rsidRPr="00F547D3" w:rsidRDefault="0038504E" w:rsidP="000458C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547D3">
        <w:rPr>
          <w:rFonts w:ascii="Times New Roman" w:hAnsi="Times New Roman"/>
          <w:sz w:val="28"/>
          <w:szCs w:val="28"/>
          <w:shd w:val="clear" w:color="auto" w:fill="FFFFFF"/>
        </w:rPr>
        <w:t xml:space="preserve">Экспозиция ингибиторов АКФ в течение II и III триместров беременности, как известно, вызывает </w:t>
      </w:r>
      <w:proofErr w:type="spellStart"/>
      <w:r w:rsidRPr="00F547D3">
        <w:rPr>
          <w:rFonts w:ascii="Times New Roman" w:hAnsi="Times New Roman"/>
          <w:sz w:val="28"/>
          <w:szCs w:val="28"/>
          <w:shd w:val="clear" w:color="auto" w:fill="FFFFFF"/>
        </w:rPr>
        <w:t>фетотоксичность</w:t>
      </w:r>
      <w:proofErr w:type="spellEnd"/>
      <w:r w:rsidRPr="00F547D3">
        <w:rPr>
          <w:rFonts w:ascii="Times New Roman" w:hAnsi="Times New Roman"/>
          <w:sz w:val="28"/>
          <w:szCs w:val="28"/>
          <w:shd w:val="clear" w:color="auto" w:fill="FFFFFF"/>
        </w:rPr>
        <w:t xml:space="preserve"> у людей (нарушение развития почек плода, </w:t>
      </w:r>
      <w:proofErr w:type="spellStart"/>
      <w:r w:rsidRPr="00F547D3">
        <w:rPr>
          <w:rFonts w:ascii="Times New Roman" w:hAnsi="Times New Roman"/>
          <w:sz w:val="28"/>
          <w:szCs w:val="28"/>
          <w:shd w:val="clear" w:color="auto" w:fill="FFFFFF"/>
        </w:rPr>
        <w:t>олигогидрамнион</w:t>
      </w:r>
      <w:proofErr w:type="spellEnd"/>
      <w:r w:rsidRPr="00F547D3">
        <w:rPr>
          <w:rFonts w:ascii="Times New Roman" w:hAnsi="Times New Roman"/>
          <w:sz w:val="28"/>
          <w:szCs w:val="28"/>
          <w:shd w:val="clear" w:color="auto" w:fill="FFFFFF"/>
        </w:rPr>
        <w:t xml:space="preserve">, замедление окостенения черепа) и неонатальную токсичность (почечная недостаточность, гипотензия, </w:t>
      </w:r>
      <w:proofErr w:type="spellStart"/>
      <w:r w:rsidRPr="00F547D3">
        <w:rPr>
          <w:rFonts w:ascii="Times New Roman" w:hAnsi="Times New Roman"/>
          <w:sz w:val="28"/>
          <w:szCs w:val="28"/>
          <w:shd w:val="clear" w:color="auto" w:fill="FFFFFF"/>
        </w:rPr>
        <w:t>гиперкалиемия</w:t>
      </w:r>
      <w:proofErr w:type="spellEnd"/>
      <w:r w:rsidRPr="00F547D3">
        <w:rPr>
          <w:rFonts w:ascii="Times New Roman" w:hAnsi="Times New Roman"/>
          <w:sz w:val="28"/>
          <w:szCs w:val="28"/>
          <w:shd w:val="clear" w:color="auto" w:fill="FFFFFF"/>
        </w:rPr>
        <w:t>). Если экспозиция ингибиторов АКФ происходит в течение II триместра беременности, то рекомендуется проведение УЗИ функции почек и развития костей черепа. Новорожденные, матери которых принимали ингибиторы АКФ, должны внимательно наблюдаться на предмет возможного развития гипотонии.</w:t>
      </w:r>
    </w:p>
    <w:p w:rsidR="000066B6" w:rsidRPr="00F547D3" w:rsidRDefault="000066B6" w:rsidP="000066B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547D3">
        <w:rPr>
          <w:rFonts w:ascii="Times New Roman" w:hAnsi="Times New Roman"/>
          <w:i/>
          <w:sz w:val="28"/>
          <w:szCs w:val="28"/>
        </w:rPr>
        <w:t>Гидрохлоротиазид</w:t>
      </w:r>
    </w:p>
    <w:p w:rsidR="000066B6" w:rsidRPr="00F547D3" w:rsidRDefault="000066B6" w:rsidP="000066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Гидрохлоротиазид не следует применять при </w:t>
      </w:r>
      <w:proofErr w:type="spellStart"/>
      <w:r w:rsidRPr="00F547D3">
        <w:rPr>
          <w:rFonts w:ascii="Times New Roman" w:hAnsi="Times New Roman"/>
          <w:sz w:val="28"/>
          <w:szCs w:val="28"/>
        </w:rPr>
        <w:t>гестационном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отеке, </w:t>
      </w:r>
      <w:proofErr w:type="spellStart"/>
      <w:r w:rsidRPr="00F547D3">
        <w:rPr>
          <w:rFonts w:ascii="Times New Roman" w:hAnsi="Times New Roman"/>
          <w:sz w:val="28"/>
          <w:szCs w:val="28"/>
        </w:rPr>
        <w:t>гестационной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гипертензии или </w:t>
      </w:r>
      <w:proofErr w:type="spellStart"/>
      <w:r w:rsidRPr="00F547D3">
        <w:rPr>
          <w:rFonts w:ascii="Times New Roman" w:hAnsi="Times New Roman"/>
          <w:sz w:val="28"/>
          <w:szCs w:val="28"/>
        </w:rPr>
        <w:t>преэклампсии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из-за риска уменьшения объема крови и </w:t>
      </w:r>
      <w:proofErr w:type="spellStart"/>
      <w:r w:rsidRPr="00F547D3">
        <w:rPr>
          <w:rFonts w:ascii="Times New Roman" w:hAnsi="Times New Roman"/>
          <w:sz w:val="28"/>
          <w:szCs w:val="28"/>
        </w:rPr>
        <w:t>гипоперфузии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плаценты, без положительного влияния на течение заболевания.</w:t>
      </w:r>
    </w:p>
    <w:p w:rsidR="000066B6" w:rsidRPr="00F547D3" w:rsidRDefault="000066B6" w:rsidP="000066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Гидрохлоротиазид не следует применять при </w:t>
      </w:r>
      <w:proofErr w:type="spellStart"/>
      <w:r w:rsidRPr="00F547D3">
        <w:rPr>
          <w:rFonts w:ascii="Times New Roman" w:hAnsi="Times New Roman"/>
          <w:sz w:val="28"/>
          <w:szCs w:val="28"/>
        </w:rPr>
        <w:t>эссенциальной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гипертонии у беременных, за исключением редких случаев, когда никакое другое лечение не может быть использовано. Кроме того, сообщалось о редких случаях гипогликемии у новорожденных в случае воздействия в ближайшем будущем.</w:t>
      </w:r>
    </w:p>
    <w:p w:rsidR="000066B6" w:rsidRPr="00F547D3" w:rsidRDefault="000066B6" w:rsidP="000066B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547D3">
        <w:rPr>
          <w:rFonts w:ascii="Times New Roman" w:hAnsi="Times New Roman"/>
          <w:b/>
          <w:i/>
          <w:sz w:val="28"/>
          <w:szCs w:val="28"/>
        </w:rPr>
        <w:t>Период лактации</w:t>
      </w:r>
    </w:p>
    <w:p w:rsidR="000066B6" w:rsidRPr="00F547D3" w:rsidRDefault="000066B6" w:rsidP="000066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F547D3">
        <w:rPr>
          <w:rFonts w:ascii="Times New Roman" w:hAnsi="Times New Roman"/>
          <w:i/>
          <w:color w:val="000000"/>
          <w:sz w:val="28"/>
          <w:szCs w:val="28"/>
        </w:rPr>
        <w:t>Каптоприл</w:t>
      </w:r>
    </w:p>
    <w:p w:rsidR="000066B6" w:rsidRPr="00F547D3" w:rsidRDefault="000066B6" w:rsidP="00006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547D3">
        <w:rPr>
          <w:rFonts w:ascii="Times New Roman" w:hAnsi="Times New Roman"/>
          <w:color w:val="000000"/>
          <w:sz w:val="28"/>
          <w:szCs w:val="28"/>
        </w:rPr>
        <w:t xml:space="preserve">В случае ребенка более старшего возраста, использование препарата у кормящей матери может быть рассмотрено, если это лечение необходимо для матери и наблюдаются какие-либо побочные эффекты у ребенка. </w:t>
      </w:r>
    </w:p>
    <w:p w:rsidR="000066B6" w:rsidRPr="00F547D3" w:rsidRDefault="000066B6" w:rsidP="000066B6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547D3">
        <w:rPr>
          <w:rFonts w:ascii="Times New Roman" w:hAnsi="Times New Roman"/>
          <w:i/>
          <w:color w:val="000000"/>
          <w:sz w:val="28"/>
          <w:szCs w:val="28"/>
        </w:rPr>
        <w:t>Гидрохлоротиазид</w:t>
      </w:r>
    </w:p>
    <w:p w:rsidR="000066B6" w:rsidRPr="00F547D3" w:rsidRDefault="000066B6" w:rsidP="000066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547D3">
        <w:rPr>
          <w:rFonts w:ascii="Times New Roman" w:hAnsi="Times New Roman"/>
          <w:color w:val="000000"/>
          <w:sz w:val="28"/>
          <w:szCs w:val="28"/>
        </w:rPr>
        <w:t xml:space="preserve">Гидрохлоротиазид выводится в незначительных количествах с молоком. </w:t>
      </w:r>
      <w:proofErr w:type="spellStart"/>
      <w:r w:rsidRPr="00F547D3">
        <w:rPr>
          <w:rFonts w:ascii="Times New Roman" w:hAnsi="Times New Roman"/>
          <w:color w:val="000000"/>
          <w:sz w:val="28"/>
          <w:szCs w:val="28"/>
        </w:rPr>
        <w:t>Тиазиды</w:t>
      </w:r>
      <w:proofErr w:type="spellEnd"/>
      <w:r w:rsidRPr="00F547D3">
        <w:rPr>
          <w:rFonts w:ascii="Times New Roman" w:hAnsi="Times New Roman"/>
          <w:color w:val="000000"/>
          <w:sz w:val="28"/>
          <w:szCs w:val="28"/>
        </w:rPr>
        <w:t xml:space="preserve"> в высоких дозах, вызывающие выраженный диурез, могут подавлять выработку молока. Использование препарата в период лактации не рекомендуется. </w:t>
      </w:r>
      <w:r w:rsidRPr="00F547D3">
        <w:rPr>
          <w:rFonts w:ascii="Times New Roman" w:hAnsi="Times New Roman"/>
          <w:sz w:val="28"/>
          <w:szCs w:val="28"/>
        </w:rPr>
        <w:t xml:space="preserve">Применение </w:t>
      </w:r>
      <w:proofErr w:type="spellStart"/>
      <w:r w:rsidRPr="00F547D3">
        <w:rPr>
          <w:rFonts w:ascii="Times New Roman" w:hAnsi="Times New Roman"/>
          <w:sz w:val="28"/>
          <w:szCs w:val="28"/>
        </w:rPr>
        <w:t>гидрохлоротиазида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во время лактации возможно только в минимальных дозах</w:t>
      </w:r>
      <w:r w:rsidRPr="00F547D3">
        <w:rPr>
          <w:rFonts w:ascii="Times New Roman" w:hAnsi="Times New Roman"/>
          <w:color w:val="000000"/>
          <w:sz w:val="28"/>
          <w:szCs w:val="28"/>
        </w:rPr>
        <w:t>.</w:t>
      </w:r>
    </w:p>
    <w:p w:rsidR="000066B6" w:rsidRPr="00F547D3" w:rsidRDefault="000066B6" w:rsidP="000066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Могут наблюдаться повышенная чувствительность к препаратам, производным сульфаниламидов, </w:t>
      </w:r>
      <w:proofErr w:type="spellStart"/>
      <w:r w:rsidRPr="00F547D3">
        <w:rPr>
          <w:rFonts w:ascii="Times New Roman" w:hAnsi="Times New Roman"/>
          <w:sz w:val="28"/>
          <w:szCs w:val="28"/>
        </w:rPr>
        <w:t>гипокалиемия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и ядерная желтуха.</w:t>
      </w:r>
    </w:p>
    <w:p w:rsidR="003F008B" w:rsidRPr="00F547D3" w:rsidRDefault="003F008B" w:rsidP="003F008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547D3">
        <w:rPr>
          <w:rFonts w:ascii="Times New Roman" w:hAnsi="Times New Roman"/>
          <w:i/>
          <w:sz w:val="28"/>
          <w:szCs w:val="28"/>
        </w:rPr>
        <w:lastRenderedPageBreak/>
        <w:t>Особенности влияния препарата на способность управлять транспортными средствами или потенциально опасными механизмами</w:t>
      </w:r>
      <w:r w:rsidRPr="00F547D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0040D" w:rsidRPr="00F547D3" w:rsidRDefault="0030040D" w:rsidP="00300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Как и при приеме других </w:t>
      </w:r>
      <w:proofErr w:type="spellStart"/>
      <w:r w:rsidRPr="00F547D3">
        <w:rPr>
          <w:rFonts w:ascii="Times New Roman" w:hAnsi="Times New Roman"/>
          <w:sz w:val="28"/>
          <w:szCs w:val="28"/>
        </w:rPr>
        <w:t>антигипертензивных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средств, способность управлять транспортными средствами и потенциально опасными механизмами может снизиться, особенно в начале лечения, либо при изменении дозировки, либо при совместном приеме с алкоголем. Указанные эффекты зависят от индивидуальной восприимчивости пациента.</w:t>
      </w:r>
    </w:p>
    <w:p w:rsidR="003A475F" w:rsidRPr="00F547D3" w:rsidRDefault="003A475F" w:rsidP="003F008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406A" w:rsidRPr="00F547D3" w:rsidRDefault="00DB406A" w:rsidP="003F008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47D3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:rsidR="0093309E" w:rsidRPr="00F547D3" w:rsidRDefault="0093309E" w:rsidP="008477CC">
      <w:pPr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 w:rsidRPr="00F547D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Режим дозирования </w:t>
      </w:r>
    </w:p>
    <w:p w:rsidR="009318FF" w:rsidRPr="00F547D3" w:rsidRDefault="009318FF" w:rsidP="009318FF">
      <w:pPr>
        <w:tabs>
          <w:tab w:val="left" w:pos="750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547D3">
        <w:rPr>
          <w:rFonts w:ascii="Times New Roman" w:hAnsi="Times New Roman"/>
          <w:i/>
          <w:sz w:val="28"/>
          <w:szCs w:val="28"/>
        </w:rPr>
        <w:t>Взрослые</w:t>
      </w:r>
    </w:p>
    <w:p w:rsidR="009318FF" w:rsidRPr="00F547D3" w:rsidRDefault="009318FF" w:rsidP="009318FF">
      <w:pPr>
        <w:tabs>
          <w:tab w:val="left" w:pos="75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Обычная поддерживающая доза составляет 50 мг/25 мг, один раз в день. </w:t>
      </w:r>
    </w:p>
    <w:p w:rsidR="009318FF" w:rsidRPr="00F547D3" w:rsidRDefault="009318FF" w:rsidP="009318FF">
      <w:pPr>
        <w:tabs>
          <w:tab w:val="left" w:pos="750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547D3">
        <w:rPr>
          <w:rFonts w:ascii="Times New Roman" w:hAnsi="Times New Roman"/>
          <w:i/>
          <w:sz w:val="28"/>
          <w:szCs w:val="28"/>
        </w:rPr>
        <w:t>Пожилые</w:t>
      </w:r>
    </w:p>
    <w:p w:rsidR="009318FF" w:rsidRPr="00F547D3" w:rsidRDefault="009318FF" w:rsidP="009318FF">
      <w:pPr>
        <w:tabs>
          <w:tab w:val="left" w:pos="75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>Дозу следует поддерживать как можно более низкой для достижения адекватного контроля артериального давления. Некоторым пациентам может быть достаточно половины таблетки. Доза 25 мг/12,5 мг особенно подходят для пациентов пожилого возраста.</w:t>
      </w:r>
    </w:p>
    <w:p w:rsidR="009318FF" w:rsidRPr="00F547D3" w:rsidRDefault="009318FF" w:rsidP="009318FF">
      <w:pPr>
        <w:tabs>
          <w:tab w:val="left" w:pos="750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547D3">
        <w:rPr>
          <w:rFonts w:ascii="Times New Roman" w:hAnsi="Times New Roman"/>
          <w:i/>
          <w:sz w:val="28"/>
          <w:szCs w:val="28"/>
        </w:rPr>
        <w:t>Педиатрическая популяция</w:t>
      </w:r>
    </w:p>
    <w:p w:rsidR="009318FF" w:rsidRPr="00F547D3" w:rsidRDefault="009318FF" w:rsidP="009318FF">
      <w:pPr>
        <w:tabs>
          <w:tab w:val="left" w:pos="75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>Безопасность и эффективность не установлены.</w:t>
      </w:r>
    </w:p>
    <w:p w:rsidR="009318FF" w:rsidRPr="00F547D3" w:rsidRDefault="009318FF" w:rsidP="009318FF">
      <w:pPr>
        <w:tabs>
          <w:tab w:val="left" w:pos="750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547D3">
        <w:rPr>
          <w:rFonts w:ascii="Times New Roman" w:hAnsi="Times New Roman"/>
          <w:i/>
          <w:sz w:val="28"/>
          <w:szCs w:val="28"/>
        </w:rPr>
        <w:t>Почечная недостаточность</w:t>
      </w:r>
    </w:p>
    <w:p w:rsidR="009318FF" w:rsidRPr="00F547D3" w:rsidRDefault="009318FF" w:rsidP="009318FF">
      <w:pPr>
        <w:tabs>
          <w:tab w:val="left" w:pos="75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>Доза 25 мг/12,5 мг не рекомендуется применять у пациентов с выраженной почечной недостаточностью.</w:t>
      </w:r>
    </w:p>
    <w:p w:rsidR="00AF666B" w:rsidRPr="00F547D3" w:rsidRDefault="00AF666B" w:rsidP="00AF666B">
      <w:pPr>
        <w:tabs>
          <w:tab w:val="left" w:pos="750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47D3">
        <w:rPr>
          <w:rFonts w:ascii="Times New Roman" w:hAnsi="Times New Roman"/>
          <w:b/>
          <w:sz w:val="28"/>
          <w:szCs w:val="28"/>
        </w:rPr>
        <w:t xml:space="preserve">Способ применения </w:t>
      </w:r>
    </w:p>
    <w:p w:rsidR="00AF666B" w:rsidRPr="00F547D3" w:rsidRDefault="00AF666B" w:rsidP="00AF666B">
      <w:pPr>
        <w:tabs>
          <w:tab w:val="left" w:pos="75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>Для приема внутрь.</w:t>
      </w:r>
    </w:p>
    <w:p w:rsidR="000C5B20" w:rsidRPr="00F547D3" w:rsidRDefault="000C5B20" w:rsidP="008477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7D3">
        <w:rPr>
          <w:rFonts w:ascii="Times New Roman" w:eastAsia="Times New Roman" w:hAnsi="Times New Roman"/>
          <w:sz w:val="28"/>
          <w:szCs w:val="28"/>
          <w:lang w:eastAsia="ru-RU"/>
        </w:rPr>
        <w:t>Препарат следует принимать утром, независимо от еды, запивая большим количеством жидкости.</w:t>
      </w:r>
    </w:p>
    <w:p w:rsidR="0056277C" w:rsidRPr="00F547D3" w:rsidRDefault="0056277C" w:rsidP="008477C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547D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которые необходимо принять в случае передозировки</w:t>
      </w:r>
    </w:p>
    <w:p w:rsidR="003A54D4" w:rsidRPr="00F547D3" w:rsidRDefault="003A54D4" w:rsidP="003A54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i/>
          <w:sz w:val="28"/>
          <w:szCs w:val="28"/>
        </w:rPr>
        <w:t xml:space="preserve">Симптомы: </w:t>
      </w:r>
      <w:r w:rsidRPr="00F547D3">
        <w:rPr>
          <w:rFonts w:ascii="Times New Roman" w:hAnsi="Times New Roman"/>
          <w:sz w:val="28"/>
          <w:szCs w:val="28"/>
        </w:rPr>
        <w:t>повышенный диурез, электролитный дисбаланс, выраженная гипотензия, депрессия сознания (в том числе кома), судороги, парезы, нарушения ритма сердца, брадикардия и почечная недостаточность.</w:t>
      </w:r>
    </w:p>
    <w:p w:rsidR="003A54D4" w:rsidRPr="00F547D3" w:rsidRDefault="003A54D4" w:rsidP="003A54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i/>
          <w:sz w:val="28"/>
          <w:szCs w:val="28"/>
        </w:rPr>
        <w:t>Лечение</w:t>
      </w:r>
      <w:r w:rsidRPr="00F547D3">
        <w:rPr>
          <w:rFonts w:ascii="Times New Roman" w:hAnsi="Times New Roman"/>
          <w:sz w:val="28"/>
          <w:szCs w:val="28"/>
        </w:rPr>
        <w:t xml:space="preserve">: в случае недавнего приема рекомендуется промыть желудок, принять активированный уголь и сульфат натрия в течение 30 минут после приема таблеток. </w:t>
      </w:r>
    </w:p>
    <w:p w:rsidR="003A54D4" w:rsidRPr="00F547D3" w:rsidRDefault="003A54D4" w:rsidP="003A54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При возникновении гипотонии пациент должен быть помещен в положение </w:t>
      </w:r>
      <w:r w:rsidR="00284DA5" w:rsidRPr="00F547D3">
        <w:rPr>
          <w:rFonts w:ascii="Times New Roman" w:hAnsi="Times New Roman"/>
          <w:sz w:val="28"/>
          <w:szCs w:val="28"/>
        </w:rPr>
        <w:t>лежа</w:t>
      </w:r>
      <w:r w:rsidRPr="00F547D3">
        <w:rPr>
          <w:rFonts w:ascii="Times New Roman" w:hAnsi="Times New Roman"/>
          <w:sz w:val="28"/>
          <w:szCs w:val="28"/>
        </w:rPr>
        <w:t xml:space="preserve"> и следует начать введение раствор натрия хлорида. Может быть рассмотрен</w:t>
      </w:r>
      <w:r w:rsidR="00B31D07" w:rsidRPr="00F547D3">
        <w:rPr>
          <w:rFonts w:ascii="Times New Roman" w:hAnsi="Times New Roman"/>
          <w:sz w:val="28"/>
          <w:szCs w:val="28"/>
        </w:rPr>
        <w:t>о</w:t>
      </w:r>
      <w:r w:rsidRPr="00F547D3">
        <w:rPr>
          <w:rFonts w:ascii="Times New Roman" w:hAnsi="Times New Roman"/>
          <w:sz w:val="28"/>
          <w:szCs w:val="28"/>
        </w:rPr>
        <w:t xml:space="preserve"> лечение с </w:t>
      </w:r>
      <w:proofErr w:type="spellStart"/>
      <w:r w:rsidRPr="00F547D3">
        <w:rPr>
          <w:rFonts w:ascii="Times New Roman" w:hAnsi="Times New Roman"/>
          <w:sz w:val="28"/>
          <w:szCs w:val="28"/>
        </w:rPr>
        <w:t>ангиотензином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-II. Брадикардия или обширные блуждающие реакции следует лечить путем введения атропина. </w:t>
      </w:r>
      <w:r w:rsidRPr="00F547D3">
        <w:rPr>
          <w:rFonts w:ascii="Times New Roman" w:hAnsi="Times New Roman"/>
          <w:color w:val="000000"/>
          <w:sz w:val="28"/>
          <w:szCs w:val="28"/>
        </w:rPr>
        <w:t>Может быть рассмотрено использование кардиостимулятора.</w:t>
      </w:r>
      <w:r w:rsidRPr="00F547D3">
        <w:rPr>
          <w:rFonts w:ascii="Times New Roman" w:hAnsi="Times New Roman"/>
          <w:sz w:val="28"/>
          <w:szCs w:val="28"/>
        </w:rPr>
        <w:t xml:space="preserve"> Постоянный мониторинг водно-электролитного и кислотно-щелочного баланса, глюкозы в крови имеет важное значение. В случае </w:t>
      </w:r>
      <w:proofErr w:type="spellStart"/>
      <w:r w:rsidRPr="00F547D3">
        <w:rPr>
          <w:rFonts w:ascii="Times New Roman" w:hAnsi="Times New Roman"/>
          <w:sz w:val="28"/>
          <w:szCs w:val="28"/>
        </w:rPr>
        <w:t>гипокалиемии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необходимо восполнение дефицита калия.</w:t>
      </w:r>
    </w:p>
    <w:p w:rsidR="003A4615" w:rsidRPr="00F547D3" w:rsidRDefault="003A54D4" w:rsidP="003A54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Каптоприл может быть удален из кровообращения при помощи гемодиализа. Степень удаления </w:t>
      </w:r>
      <w:proofErr w:type="spellStart"/>
      <w:r w:rsidRPr="00F547D3">
        <w:rPr>
          <w:rFonts w:ascii="Times New Roman" w:hAnsi="Times New Roman"/>
          <w:sz w:val="28"/>
          <w:szCs w:val="28"/>
        </w:rPr>
        <w:t>гидрохлоротиазида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при помощи гемодиализа не установлена.</w:t>
      </w:r>
    </w:p>
    <w:p w:rsidR="008477CC" w:rsidRPr="00F547D3" w:rsidRDefault="008477CC" w:rsidP="003A461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547D3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Рекомендации по обращению за консультацией к медицинскому работнику для разъяснения способа применения лекарственного препарата</w:t>
      </w:r>
    </w:p>
    <w:p w:rsidR="006726A9" w:rsidRPr="00F547D3" w:rsidRDefault="006726A9" w:rsidP="006726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Необходимо обратиться за консультацией к медицинскому работнику, если не понятен способ применения препарата. </w:t>
      </w:r>
    </w:p>
    <w:p w:rsidR="008477CC" w:rsidRPr="00F547D3" w:rsidRDefault="004037E0" w:rsidP="008477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47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16B0E" w:rsidRPr="00F547D3" w:rsidRDefault="001937AD" w:rsidP="0016267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2" w:name="2175220282"/>
      <w:r w:rsidRPr="00F547D3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нежелательных реакций</w:t>
      </w:r>
      <w:r w:rsidR="005C4B12" w:rsidRPr="00F547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F547D3">
        <w:rPr>
          <w:rFonts w:ascii="Times New Roman" w:hAnsi="Times New Roman"/>
          <w:b/>
          <w:color w:val="000000"/>
          <w:sz w:val="28"/>
          <w:szCs w:val="28"/>
        </w:rPr>
        <w:t xml:space="preserve">которые проявляются при стандартном применении ЛП и меры, которые следует принять в этом случае </w:t>
      </w:r>
      <w:bookmarkEnd w:id="2"/>
    </w:p>
    <w:p w:rsidR="00356449" w:rsidRPr="00F547D3" w:rsidRDefault="00356449" w:rsidP="0035644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547D3">
        <w:rPr>
          <w:rFonts w:ascii="Times New Roman" w:hAnsi="Times New Roman"/>
          <w:b/>
          <w:i/>
          <w:sz w:val="28"/>
          <w:szCs w:val="28"/>
        </w:rPr>
        <w:t>Каптоприл</w:t>
      </w:r>
    </w:p>
    <w:p w:rsidR="00356449" w:rsidRPr="00F547D3" w:rsidRDefault="00356449" w:rsidP="0035644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547D3">
        <w:rPr>
          <w:rFonts w:ascii="Times New Roman" w:hAnsi="Times New Roman"/>
          <w:i/>
          <w:sz w:val="28"/>
          <w:szCs w:val="28"/>
        </w:rPr>
        <w:t>Часто</w:t>
      </w:r>
    </w:p>
    <w:p w:rsidR="00356449" w:rsidRPr="00F547D3" w:rsidRDefault="00387A56" w:rsidP="00356449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>нарушение сна</w:t>
      </w:r>
    </w:p>
    <w:p w:rsidR="00361BA8" w:rsidRPr="00F547D3" w:rsidRDefault="00361BA8" w:rsidP="00361BA8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bCs/>
          <w:sz w:val="28"/>
          <w:szCs w:val="28"/>
        </w:rPr>
        <w:t xml:space="preserve">нарушение вкуса, головокружение </w:t>
      </w:r>
    </w:p>
    <w:p w:rsidR="00361BA8" w:rsidRPr="00F547D3" w:rsidRDefault="00361BA8" w:rsidP="00361BA8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сухой, раздражающий (непродуктивный) кашель, одышка </w:t>
      </w:r>
    </w:p>
    <w:p w:rsidR="00356449" w:rsidRPr="00F547D3" w:rsidRDefault="00361BA8" w:rsidP="00361BA8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тошнота, рвота, </w:t>
      </w:r>
      <w:proofErr w:type="spellStart"/>
      <w:r w:rsidRPr="00F547D3">
        <w:rPr>
          <w:rFonts w:ascii="Times New Roman" w:hAnsi="Times New Roman"/>
          <w:sz w:val="28"/>
          <w:szCs w:val="28"/>
        </w:rPr>
        <w:t>эпигастральный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дискомфорт, боли в животе, диарея, запор, сухость во рту, язвенная болезнь желудка</w:t>
      </w:r>
    </w:p>
    <w:p w:rsidR="00356449" w:rsidRPr="00F547D3" w:rsidRDefault="00361BA8" w:rsidP="00356449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>зуд,</w:t>
      </w:r>
      <w:r w:rsidR="00356449" w:rsidRPr="00F547D3">
        <w:rPr>
          <w:rFonts w:ascii="Times New Roman" w:hAnsi="Times New Roman"/>
          <w:sz w:val="28"/>
          <w:szCs w:val="28"/>
        </w:rPr>
        <w:t xml:space="preserve"> сыпь</w:t>
      </w:r>
      <w:r w:rsidRPr="00F547D3">
        <w:rPr>
          <w:rFonts w:ascii="Times New Roman" w:hAnsi="Times New Roman"/>
          <w:sz w:val="28"/>
          <w:szCs w:val="28"/>
        </w:rPr>
        <w:t xml:space="preserve">, </w:t>
      </w:r>
      <w:r w:rsidR="00356449" w:rsidRPr="00F547D3">
        <w:rPr>
          <w:rFonts w:ascii="Times New Roman" w:hAnsi="Times New Roman"/>
          <w:sz w:val="28"/>
          <w:szCs w:val="28"/>
        </w:rPr>
        <w:t>облысение</w:t>
      </w:r>
    </w:p>
    <w:p w:rsidR="00356449" w:rsidRPr="00F547D3" w:rsidRDefault="00356449" w:rsidP="0035644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547D3">
        <w:rPr>
          <w:rFonts w:ascii="Times New Roman" w:hAnsi="Times New Roman"/>
          <w:i/>
          <w:sz w:val="28"/>
          <w:szCs w:val="28"/>
        </w:rPr>
        <w:t>Нечасто</w:t>
      </w:r>
    </w:p>
    <w:p w:rsidR="00387A56" w:rsidRPr="00F547D3" w:rsidRDefault="00356449" w:rsidP="00356449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>снижение аппетита</w:t>
      </w:r>
    </w:p>
    <w:p w:rsidR="00356449" w:rsidRPr="00F547D3" w:rsidRDefault="00387A56" w:rsidP="00356449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>анорексия</w:t>
      </w:r>
    </w:p>
    <w:p w:rsidR="00361BA8" w:rsidRPr="00F547D3" w:rsidRDefault="00361BA8" w:rsidP="00361BA8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bCs/>
          <w:sz w:val="28"/>
          <w:szCs w:val="28"/>
        </w:rPr>
        <w:t xml:space="preserve">головные боли, парестезия </w:t>
      </w:r>
    </w:p>
    <w:p w:rsidR="00356449" w:rsidRPr="00F547D3" w:rsidRDefault="00356449" w:rsidP="00361BA8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>тахикардия</w:t>
      </w:r>
      <w:r w:rsidR="00361BA8" w:rsidRPr="00F547D3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="00361BA8" w:rsidRPr="00F547D3">
        <w:rPr>
          <w:rFonts w:ascii="Times New Roman" w:hAnsi="Times New Roman"/>
          <w:sz w:val="28"/>
          <w:szCs w:val="28"/>
        </w:rPr>
        <w:t>тахиаритмия</w:t>
      </w:r>
      <w:proofErr w:type="spellEnd"/>
      <w:r w:rsidRPr="00F547D3">
        <w:rPr>
          <w:rFonts w:ascii="Times New Roman" w:hAnsi="Times New Roman"/>
          <w:sz w:val="28"/>
          <w:szCs w:val="28"/>
        </w:rPr>
        <w:t>, стенокардия, сердцебиение</w:t>
      </w:r>
    </w:p>
    <w:p w:rsidR="00361BA8" w:rsidRPr="00F547D3" w:rsidRDefault="00356449" w:rsidP="00183504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>гипотензия, синдр</w:t>
      </w:r>
      <w:r w:rsidR="00361BA8" w:rsidRPr="00F547D3">
        <w:rPr>
          <w:rFonts w:ascii="Times New Roman" w:hAnsi="Times New Roman"/>
          <w:sz w:val="28"/>
          <w:szCs w:val="28"/>
        </w:rPr>
        <w:t xml:space="preserve">ом </w:t>
      </w:r>
      <w:proofErr w:type="spellStart"/>
      <w:r w:rsidR="00361BA8" w:rsidRPr="00F547D3">
        <w:rPr>
          <w:rFonts w:ascii="Times New Roman" w:hAnsi="Times New Roman"/>
          <w:sz w:val="28"/>
          <w:szCs w:val="28"/>
        </w:rPr>
        <w:t>Рейно</w:t>
      </w:r>
      <w:proofErr w:type="spellEnd"/>
      <w:r w:rsidR="00361BA8" w:rsidRPr="00F547D3">
        <w:rPr>
          <w:rFonts w:ascii="Times New Roman" w:hAnsi="Times New Roman"/>
          <w:sz w:val="28"/>
          <w:szCs w:val="28"/>
        </w:rPr>
        <w:t>, гиперемия, бледность</w:t>
      </w:r>
    </w:p>
    <w:p w:rsidR="00356449" w:rsidRPr="00F547D3" w:rsidRDefault="00356449" w:rsidP="00183504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>ангионевротический отек</w:t>
      </w:r>
    </w:p>
    <w:p w:rsidR="00356449" w:rsidRPr="00F547D3" w:rsidRDefault="00356449" w:rsidP="00356449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>боль в груди, усталость, недомогание</w:t>
      </w:r>
    </w:p>
    <w:p w:rsidR="00356449" w:rsidRPr="00F547D3" w:rsidRDefault="00356449" w:rsidP="0035644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547D3">
        <w:rPr>
          <w:rFonts w:ascii="Times New Roman" w:hAnsi="Times New Roman"/>
          <w:i/>
          <w:sz w:val="28"/>
          <w:szCs w:val="28"/>
        </w:rPr>
        <w:t>Редко</w:t>
      </w:r>
    </w:p>
    <w:p w:rsidR="00356449" w:rsidRPr="00F547D3" w:rsidRDefault="00684131" w:rsidP="00356449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F547D3">
        <w:rPr>
          <w:rFonts w:ascii="Times New Roman" w:hAnsi="Times New Roman"/>
          <w:bCs/>
          <w:sz w:val="28"/>
          <w:szCs w:val="28"/>
        </w:rPr>
        <w:t>сонливость</w:t>
      </w:r>
    </w:p>
    <w:p w:rsidR="00356449" w:rsidRPr="00F547D3" w:rsidRDefault="00D91C33" w:rsidP="00356449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>стоматит/</w:t>
      </w:r>
      <w:proofErr w:type="spellStart"/>
      <w:r w:rsidRPr="00F547D3">
        <w:rPr>
          <w:rFonts w:ascii="Times New Roman" w:hAnsi="Times New Roman"/>
          <w:sz w:val="28"/>
          <w:szCs w:val="28"/>
        </w:rPr>
        <w:t>афтозные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язвы, кишечный ангионевротический отек</w:t>
      </w:r>
    </w:p>
    <w:p w:rsidR="00387A56" w:rsidRPr="00F547D3" w:rsidRDefault="00356449" w:rsidP="00387A56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почечная недостаточность, </w:t>
      </w:r>
      <w:r w:rsidR="00387A56" w:rsidRPr="00F547D3">
        <w:rPr>
          <w:rFonts w:ascii="Times New Roman" w:hAnsi="Times New Roman"/>
          <w:sz w:val="28"/>
          <w:szCs w:val="28"/>
        </w:rPr>
        <w:t xml:space="preserve">в том числе полиурия, </w:t>
      </w:r>
      <w:proofErr w:type="spellStart"/>
      <w:r w:rsidR="00387A56" w:rsidRPr="00F547D3">
        <w:rPr>
          <w:rFonts w:ascii="Times New Roman" w:hAnsi="Times New Roman"/>
          <w:sz w:val="28"/>
          <w:szCs w:val="28"/>
        </w:rPr>
        <w:t>олигурия</w:t>
      </w:r>
      <w:proofErr w:type="spellEnd"/>
      <w:r w:rsidR="00387A56" w:rsidRPr="00F547D3">
        <w:rPr>
          <w:rFonts w:ascii="Times New Roman" w:hAnsi="Times New Roman"/>
          <w:sz w:val="28"/>
          <w:szCs w:val="28"/>
        </w:rPr>
        <w:t>, частое мочеиспускание</w:t>
      </w:r>
    </w:p>
    <w:p w:rsidR="00356449" w:rsidRPr="00F547D3" w:rsidRDefault="00356449" w:rsidP="00387A5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547D3">
        <w:rPr>
          <w:rFonts w:ascii="Times New Roman" w:hAnsi="Times New Roman"/>
          <w:i/>
          <w:sz w:val="28"/>
          <w:szCs w:val="28"/>
        </w:rPr>
        <w:t>Очень редко</w:t>
      </w:r>
    </w:p>
    <w:p w:rsidR="00356449" w:rsidRPr="00F547D3" w:rsidRDefault="00D91C33" w:rsidP="00387A56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47D3">
        <w:rPr>
          <w:rFonts w:ascii="Times New Roman" w:hAnsi="Times New Roman"/>
          <w:sz w:val="28"/>
          <w:szCs w:val="28"/>
        </w:rPr>
        <w:t>нейтропения</w:t>
      </w:r>
      <w:proofErr w:type="spellEnd"/>
      <w:r w:rsidRPr="00F547D3">
        <w:rPr>
          <w:rFonts w:ascii="Times New Roman" w:hAnsi="Times New Roman"/>
          <w:sz w:val="28"/>
          <w:szCs w:val="28"/>
        </w:rPr>
        <w:t>/</w:t>
      </w:r>
      <w:proofErr w:type="spellStart"/>
      <w:r w:rsidRPr="00F547D3">
        <w:rPr>
          <w:rFonts w:ascii="Times New Roman" w:hAnsi="Times New Roman"/>
          <w:sz w:val="28"/>
          <w:szCs w:val="28"/>
        </w:rPr>
        <w:t>агранулоцитоз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47D3">
        <w:rPr>
          <w:rFonts w:ascii="Times New Roman" w:hAnsi="Times New Roman"/>
          <w:sz w:val="28"/>
          <w:szCs w:val="28"/>
        </w:rPr>
        <w:t>панцитопения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(особенно у пациентов с почечной недостаточностью), анемия (</w:t>
      </w:r>
      <w:proofErr w:type="spellStart"/>
      <w:r w:rsidRPr="00F547D3">
        <w:rPr>
          <w:rFonts w:ascii="Times New Roman" w:hAnsi="Times New Roman"/>
          <w:sz w:val="28"/>
          <w:szCs w:val="28"/>
        </w:rPr>
        <w:t>апластическая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или гемолитическая), тромбоцитопения, </w:t>
      </w:r>
      <w:proofErr w:type="spellStart"/>
      <w:r w:rsidRPr="00F547D3">
        <w:rPr>
          <w:rFonts w:ascii="Times New Roman" w:hAnsi="Times New Roman"/>
          <w:sz w:val="28"/>
          <w:szCs w:val="28"/>
        </w:rPr>
        <w:t>лимфаденопатия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47D3">
        <w:rPr>
          <w:rFonts w:ascii="Times New Roman" w:hAnsi="Times New Roman"/>
          <w:sz w:val="28"/>
          <w:szCs w:val="28"/>
        </w:rPr>
        <w:t>эозинофилия</w:t>
      </w:r>
      <w:proofErr w:type="spellEnd"/>
      <w:r w:rsidRPr="00F547D3">
        <w:rPr>
          <w:rFonts w:ascii="Times New Roman" w:hAnsi="Times New Roman"/>
          <w:sz w:val="28"/>
          <w:szCs w:val="28"/>
        </w:rPr>
        <w:t>, аутоиммунные заболевания и / или повышение титров АНА (антинуклеарных антител)</w:t>
      </w:r>
    </w:p>
    <w:p w:rsidR="00356449" w:rsidRPr="00F547D3" w:rsidRDefault="00387A56" w:rsidP="00387A56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47D3">
        <w:rPr>
          <w:rFonts w:ascii="Times New Roman" w:hAnsi="Times New Roman"/>
          <w:sz w:val="28"/>
          <w:szCs w:val="28"/>
        </w:rPr>
        <w:t>гиперкалиемия</w:t>
      </w:r>
      <w:proofErr w:type="spellEnd"/>
      <w:r w:rsidRPr="00F547D3">
        <w:rPr>
          <w:rFonts w:ascii="Times New Roman" w:hAnsi="Times New Roman"/>
          <w:sz w:val="28"/>
          <w:szCs w:val="28"/>
        </w:rPr>
        <w:t>, гипогликемия</w:t>
      </w:r>
    </w:p>
    <w:p w:rsidR="00356449" w:rsidRPr="00F547D3" w:rsidRDefault="00356449" w:rsidP="00356449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>спутанность сознания, депрессия</w:t>
      </w:r>
    </w:p>
    <w:p w:rsidR="00356449" w:rsidRPr="00F547D3" w:rsidRDefault="00356449" w:rsidP="00356449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>цереброваскулярные осложнения, в том числе инсульт и обмороки</w:t>
      </w:r>
    </w:p>
    <w:p w:rsidR="0008580D" w:rsidRPr="00F547D3" w:rsidRDefault="0008580D" w:rsidP="0008580D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нарушение зрения </w:t>
      </w:r>
    </w:p>
    <w:p w:rsidR="00356449" w:rsidRPr="00F547D3" w:rsidRDefault="00356449" w:rsidP="0008580D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>остановка сердца, кардиогенный шок</w:t>
      </w:r>
    </w:p>
    <w:p w:rsidR="00D91C33" w:rsidRPr="00F547D3" w:rsidRDefault="00D91C33" w:rsidP="0008580D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>сывороточная болезнь</w:t>
      </w:r>
    </w:p>
    <w:p w:rsidR="00426160" w:rsidRPr="00F547D3" w:rsidRDefault="00426160" w:rsidP="00426160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>миалгия, артралгия</w:t>
      </w:r>
    </w:p>
    <w:p w:rsidR="00356449" w:rsidRPr="00F547D3" w:rsidRDefault="00356449" w:rsidP="00356449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47D3">
        <w:rPr>
          <w:rFonts w:ascii="Times New Roman" w:hAnsi="Times New Roman"/>
          <w:sz w:val="28"/>
          <w:szCs w:val="28"/>
        </w:rPr>
        <w:t>бронхоспазм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, ринит, аллергический </w:t>
      </w:r>
      <w:proofErr w:type="spellStart"/>
      <w:r w:rsidRPr="00F547D3">
        <w:rPr>
          <w:rFonts w:ascii="Times New Roman" w:hAnsi="Times New Roman"/>
          <w:sz w:val="28"/>
          <w:szCs w:val="28"/>
        </w:rPr>
        <w:t>альвеолит</w:t>
      </w:r>
      <w:proofErr w:type="spellEnd"/>
      <w:r w:rsidRPr="00F547D3">
        <w:rPr>
          <w:rFonts w:ascii="Times New Roman" w:hAnsi="Times New Roman"/>
          <w:sz w:val="28"/>
          <w:szCs w:val="28"/>
        </w:rPr>
        <w:t>/эозинофильная пневмония</w:t>
      </w:r>
    </w:p>
    <w:p w:rsidR="00356449" w:rsidRPr="00F547D3" w:rsidRDefault="00356449" w:rsidP="00356449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lastRenderedPageBreak/>
        <w:t>глоссит, панкреатит</w:t>
      </w:r>
    </w:p>
    <w:p w:rsidR="00356449" w:rsidRPr="00F547D3" w:rsidRDefault="0008580D" w:rsidP="0008580D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нарушение функции печени и </w:t>
      </w:r>
      <w:proofErr w:type="spellStart"/>
      <w:r w:rsidRPr="00F547D3">
        <w:rPr>
          <w:rFonts w:ascii="Times New Roman" w:hAnsi="Times New Roman"/>
          <w:sz w:val="28"/>
          <w:szCs w:val="28"/>
        </w:rPr>
        <w:t>холестаз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(в том числе желтуха), гепатит, включая некроз, повышение уровня печеночных ферментов, билирубина</w:t>
      </w:r>
    </w:p>
    <w:p w:rsidR="00356449" w:rsidRPr="00F547D3" w:rsidRDefault="003026F9" w:rsidP="003026F9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крапивница, синдром </w:t>
      </w:r>
      <w:proofErr w:type="spellStart"/>
      <w:r w:rsidRPr="00F547D3">
        <w:rPr>
          <w:rFonts w:ascii="Times New Roman" w:hAnsi="Times New Roman"/>
          <w:sz w:val="28"/>
          <w:szCs w:val="28"/>
        </w:rPr>
        <w:t>Стивенса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-Джонсона, </w:t>
      </w:r>
      <w:proofErr w:type="spellStart"/>
      <w:r w:rsidRPr="00F547D3">
        <w:rPr>
          <w:rFonts w:ascii="Times New Roman" w:hAnsi="Times New Roman"/>
          <w:sz w:val="28"/>
          <w:szCs w:val="28"/>
        </w:rPr>
        <w:t>мультиформная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эритема, светочувствительность, </w:t>
      </w:r>
      <w:proofErr w:type="spellStart"/>
      <w:r w:rsidRPr="00F547D3">
        <w:rPr>
          <w:rFonts w:ascii="Times New Roman" w:hAnsi="Times New Roman"/>
          <w:sz w:val="28"/>
          <w:szCs w:val="28"/>
        </w:rPr>
        <w:t>пемфигоидные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реакции, эритродермия и </w:t>
      </w:r>
      <w:proofErr w:type="spellStart"/>
      <w:r w:rsidRPr="00F547D3">
        <w:rPr>
          <w:rFonts w:ascii="Times New Roman" w:hAnsi="Times New Roman"/>
          <w:sz w:val="28"/>
          <w:szCs w:val="28"/>
        </w:rPr>
        <w:t>эксфолиативный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дерматит</w:t>
      </w:r>
    </w:p>
    <w:p w:rsidR="00356449" w:rsidRPr="00F547D3" w:rsidRDefault="00356449" w:rsidP="00356449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>нефротический синдром</w:t>
      </w:r>
    </w:p>
    <w:p w:rsidR="00356449" w:rsidRPr="00F547D3" w:rsidRDefault="00356449" w:rsidP="00356449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47D3">
        <w:rPr>
          <w:rFonts w:ascii="Times New Roman" w:hAnsi="Times New Roman"/>
          <w:sz w:val="28"/>
          <w:szCs w:val="28"/>
        </w:rPr>
        <w:t>эректильная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дисфункция, гинекомастия</w:t>
      </w:r>
    </w:p>
    <w:p w:rsidR="00426160" w:rsidRPr="00F547D3" w:rsidRDefault="00426160" w:rsidP="00426160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>импотенция, гинекомастия</w:t>
      </w:r>
    </w:p>
    <w:p w:rsidR="00356449" w:rsidRPr="00F547D3" w:rsidRDefault="003026F9" w:rsidP="00356449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>лихорадка</w:t>
      </w:r>
    </w:p>
    <w:p w:rsidR="00356449" w:rsidRPr="00F547D3" w:rsidRDefault="00D91C33" w:rsidP="003026F9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i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протеинурия, </w:t>
      </w:r>
      <w:proofErr w:type="spellStart"/>
      <w:r w:rsidRPr="00F547D3">
        <w:rPr>
          <w:rFonts w:ascii="Times New Roman" w:hAnsi="Times New Roman"/>
          <w:sz w:val="28"/>
          <w:szCs w:val="28"/>
        </w:rPr>
        <w:t>эозинофилия</w:t>
      </w:r>
      <w:proofErr w:type="spellEnd"/>
      <w:r w:rsidRPr="00F547D3">
        <w:rPr>
          <w:rFonts w:ascii="Times New Roman" w:hAnsi="Times New Roman"/>
          <w:sz w:val="28"/>
          <w:szCs w:val="28"/>
        </w:rPr>
        <w:t>, повышение уровня калия в сыворотке крови, снижение натрия в сыворотке крови, повышение мочевины, креатинина и билирубина в сыворотке крови, снижение гемоглобина, гематокрита, лейкоцитов, тромбоцитов, положительный ANA-титр, повышение СОЭ, потеря веса</w:t>
      </w:r>
    </w:p>
    <w:p w:rsidR="00356449" w:rsidRPr="00F547D3" w:rsidRDefault="00356449" w:rsidP="0035644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547D3">
        <w:rPr>
          <w:rFonts w:ascii="Times New Roman" w:hAnsi="Times New Roman"/>
          <w:b/>
          <w:i/>
          <w:sz w:val="28"/>
          <w:szCs w:val="28"/>
        </w:rPr>
        <w:t>Гидрохлоротиазид</w:t>
      </w:r>
    </w:p>
    <w:p w:rsidR="00D91C33" w:rsidRPr="00F547D3" w:rsidRDefault="00A5702D" w:rsidP="00FF3388">
      <w:pPr>
        <w:spacing w:after="0" w:line="240" w:lineRule="auto"/>
        <w:jc w:val="both"/>
        <w:rPr>
          <w:rFonts w:ascii="Times New Roman" w:hAnsi="Times New Roman"/>
          <w:i/>
          <w:snapToGrid w:val="0"/>
          <w:sz w:val="28"/>
          <w:szCs w:val="28"/>
        </w:rPr>
      </w:pPr>
      <w:r w:rsidRPr="00F547D3">
        <w:rPr>
          <w:rFonts w:ascii="Times New Roman" w:hAnsi="Times New Roman"/>
          <w:i/>
          <w:snapToGrid w:val="0"/>
          <w:sz w:val="28"/>
          <w:szCs w:val="28"/>
        </w:rPr>
        <w:t>Очень редко</w:t>
      </w:r>
    </w:p>
    <w:p w:rsidR="00D91C33" w:rsidRPr="00F547D3" w:rsidRDefault="00D91C33" w:rsidP="00D91C33">
      <w:pPr>
        <w:pStyle w:val="ab"/>
        <w:numPr>
          <w:ilvl w:val="0"/>
          <w:numId w:val="4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острый респираторный </w:t>
      </w:r>
      <w:proofErr w:type="spellStart"/>
      <w:r w:rsidRPr="00F547D3">
        <w:rPr>
          <w:rFonts w:ascii="Times New Roman" w:hAnsi="Times New Roman"/>
          <w:sz w:val="28"/>
          <w:szCs w:val="28"/>
        </w:rPr>
        <w:t>дистресс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-синдром (ОРДС) </w:t>
      </w:r>
    </w:p>
    <w:p w:rsidR="00FF3388" w:rsidRPr="00F547D3" w:rsidRDefault="00FF3388" w:rsidP="00FF33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i/>
          <w:snapToGrid w:val="0"/>
          <w:sz w:val="28"/>
          <w:szCs w:val="28"/>
        </w:rPr>
        <w:t>Неизвестно</w:t>
      </w:r>
      <w:r w:rsidRPr="00F547D3">
        <w:rPr>
          <w:rFonts w:ascii="Times New Roman" w:hAnsi="Times New Roman"/>
          <w:sz w:val="28"/>
          <w:szCs w:val="28"/>
        </w:rPr>
        <w:t xml:space="preserve"> </w:t>
      </w:r>
    </w:p>
    <w:p w:rsidR="00356449" w:rsidRPr="00F547D3" w:rsidRDefault="00D91C33" w:rsidP="00356449">
      <w:pPr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47D3">
        <w:rPr>
          <w:rFonts w:ascii="Times New Roman" w:hAnsi="Times New Roman"/>
          <w:sz w:val="28"/>
          <w:szCs w:val="28"/>
        </w:rPr>
        <w:t>немеланомный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рак кожи (базальноклеточная карцинома и плоскоклеточная карцинома)</w:t>
      </w:r>
    </w:p>
    <w:p w:rsidR="00356449" w:rsidRPr="00F547D3" w:rsidRDefault="00356449" w:rsidP="00356449">
      <w:pPr>
        <w:pStyle w:val="ab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napToGrid w:val="0"/>
          <w:sz w:val="28"/>
          <w:szCs w:val="28"/>
        </w:rPr>
      </w:pPr>
      <w:r w:rsidRPr="00F547D3">
        <w:rPr>
          <w:rFonts w:ascii="Times New Roman" w:hAnsi="Times New Roman"/>
          <w:snapToGrid w:val="0"/>
          <w:sz w:val="28"/>
          <w:szCs w:val="28"/>
        </w:rPr>
        <w:t xml:space="preserve">лейкопения, </w:t>
      </w:r>
      <w:proofErr w:type="spellStart"/>
      <w:r w:rsidRPr="00F547D3">
        <w:rPr>
          <w:rFonts w:ascii="Times New Roman" w:hAnsi="Times New Roman"/>
          <w:snapToGrid w:val="0"/>
          <w:sz w:val="28"/>
          <w:szCs w:val="28"/>
        </w:rPr>
        <w:t>нейтропения</w:t>
      </w:r>
      <w:proofErr w:type="spellEnd"/>
      <w:r w:rsidRPr="00F547D3">
        <w:rPr>
          <w:rFonts w:ascii="Times New Roman" w:hAnsi="Times New Roman"/>
          <w:snapToGrid w:val="0"/>
          <w:sz w:val="28"/>
          <w:szCs w:val="28"/>
        </w:rPr>
        <w:t>/</w:t>
      </w:r>
      <w:proofErr w:type="spellStart"/>
      <w:r w:rsidRPr="00F547D3">
        <w:rPr>
          <w:rFonts w:ascii="Times New Roman" w:hAnsi="Times New Roman"/>
          <w:snapToGrid w:val="0"/>
          <w:sz w:val="28"/>
          <w:szCs w:val="28"/>
        </w:rPr>
        <w:t>агранулоцитоз</w:t>
      </w:r>
      <w:proofErr w:type="spellEnd"/>
      <w:r w:rsidRPr="00F547D3">
        <w:rPr>
          <w:rFonts w:ascii="Times New Roman" w:hAnsi="Times New Roman"/>
          <w:snapToGrid w:val="0"/>
          <w:sz w:val="28"/>
          <w:szCs w:val="28"/>
        </w:rPr>
        <w:t xml:space="preserve">, тромбоцитопения, </w:t>
      </w:r>
      <w:proofErr w:type="spellStart"/>
      <w:r w:rsidRPr="00F547D3">
        <w:rPr>
          <w:rFonts w:ascii="Times New Roman" w:hAnsi="Times New Roman"/>
          <w:snapToGrid w:val="0"/>
          <w:sz w:val="28"/>
          <w:szCs w:val="28"/>
        </w:rPr>
        <w:t>апластическая</w:t>
      </w:r>
      <w:proofErr w:type="spellEnd"/>
      <w:r w:rsidRPr="00F547D3">
        <w:rPr>
          <w:rFonts w:ascii="Times New Roman" w:hAnsi="Times New Roman"/>
          <w:snapToGrid w:val="0"/>
          <w:sz w:val="28"/>
          <w:szCs w:val="28"/>
        </w:rPr>
        <w:t xml:space="preserve"> анемия, гемолитическая анемия, угнетение функции костного мозга</w:t>
      </w:r>
    </w:p>
    <w:p w:rsidR="00356449" w:rsidRPr="00F547D3" w:rsidRDefault="00356449" w:rsidP="00356449">
      <w:pPr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>сиалоаденит</w:t>
      </w:r>
    </w:p>
    <w:p w:rsidR="00356449" w:rsidRPr="00F547D3" w:rsidRDefault="00356449" w:rsidP="00356449">
      <w:pPr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анорексия, гипергликемия, </w:t>
      </w:r>
      <w:proofErr w:type="spellStart"/>
      <w:r w:rsidRPr="00F547D3">
        <w:rPr>
          <w:rFonts w:ascii="Times New Roman" w:hAnsi="Times New Roman"/>
          <w:sz w:val="28"/>
          <w:szCs w:val="28"/>
        </w:rPr>
        <w:t>глюкозурия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, электролитный дисбаланс, включая </w:t>
      </w:r>
      <w:proofErr w:type="spellStart"/>
      <w:r w:rsidRPr="00F547D3">
        <w:rPr>
          <w:rFonts w:ascii="Times New Roman" w:hAnsi="Times New Roman"/>
          <w:sz w:val="28"/>
          <w:szCs w:val="28"/>
        </w:rPr>
        <w:t>гипонатриемию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547D3">
        <w:rPr>
          <w:rFonts w:ascii="Times New Roman" w:hAnsi="Times New Roman"/>
          <w:sz w:val="28"/>
          <w:szCs w:val="28"/>
        </w:rPr>
        <w:t>гипокалиемию</w:t>
      </w:r>
      <w:proofErr w:type="spellEnd"/>
      <w:r w:rsidRPr="00F547D3">
        <w:rPr>
          <w:rFonts w:ascii="Times New Roman" w:hAnsi="Times New Roman"/>
          <w:sz w:val="28"/>
          <w:szCs w:val="28"/>
        </w:rPr>
        <w:t>, повышение холестерина и триглицеридов</w:t>
      </w:r>
    </w:p>
    <w:p w:rsidR="00356449" w:rsidRPr="00F547D3" w:rsidRDefault="00356449" w:rsidP="00356449">
      <w:pPr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>беспокойство, депрессия, нарушения сна</w:t>
      </w:r>
    </w:p>
    <w:p w:rsidR="00356449" w:rsidRPr="00F547D3" w:rsidRDefault="00356449" w:rsidP="00356449">
      <w:pPr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>потеря аппетита, парестезия, легкое головокружение</w:t>
      </w:r>
    </w:p>
    <w:p w:rsidR="000C744B" w:rsidRPr="00F547D3" w:rsidRDefault="000C744B" w:rsidP="000C744B">
      <w:pPr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ксантопсия, транзиторное затуманивание зрения, острая миопия и вторичная острая </w:t>
      </w:r>
      <w:proofErr w:type="spellStart"/>
      <w:r w:rsidRPr="00F547D3">
        <w:rPr>
          <w:rFonts w:ascii="Times New Roman" w:hAnsi="Times New Roman"/>
          <w:sz w:val="28"/>
          <w:szCs w:val="28"/>
        </w:rPr>
        <w:t>закрытоугольная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глаукома, </w:t>
      </w:r>
      <w:proofErr w:type="spellStart"/>
      <w:r w:rsidRPr="00F547D3">
        <w:rPr>
          <w:rFonts w:ascii="Times New Roman" w:hAnsi="Times New Roman"/>
          <w:sz w:val="28"/>
          <w:szCs w:val="28"/>
        </w:rPr>
        <w:t>хориоидальный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выпот</w:t>
      </w:r>
    </w:p>
    <w:p w:rsidR="00356449" w:rsidRPr="00F547D3" w:rsidRDefault="00356449" w:rsidP="000C744B">
      <w:pPr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47D3">
        <w:rPr>
          <w:rFonts w:ascii="Times New Roman" w:hAnsi="Times New Roman"/>
          <w:sz w:val="28"/>
          <w:szCs w:val="28"/>
        </w:rPr>
        <w:t>вертиго</w:t>
      </w:r>
      <w:proofErr w:type="spellEnd"/>
    </w:p>
    <w:p w:rsidR="00356449" w:rsidRPr="00F547D3" w:rsidRDefault="00356449" w:rsidP="00356449">
      <w:pPr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>постуральная гипотензия, сердечные аритмии</w:t>
      </w:r>
    </w:p>
    <w:p w:rsidR="00356449" w:rsidRPr="00F547D3" w:rsidRDefault="00356449" w:rsidP="00356449">
      <w:pPr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47D3">
        <w:rPr>
          <w:rFonts w:ascii="Times New Roman" w:hAnsi="Times New Roman"/>
          <w:sz w:val="28"/>
          <w:szCs w:val="28"/>
        </w:rPr>
        <w:t>некротизирующий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47D3">
        <w:rPr>
          <w:rFonts w:ascii="Times New Roman" w:hAnsi="Times New Roman"/>
          <w:sz w:val="28"/>
          <w:szCs w:val="28"/>
        </w:rPr>
        <w:t>ангиит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547D3">
        <w:rPr>
          <w:rFonts w:ascii="Times New Roman" w:hAnsi="Times New Roman"/>
          <w:sz w:val="28"/>
          <w:szCs w:val="28"/>
        </w:rPr>
        <w:t>васкулит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, кожный </w:t>
      </w:r>
      <w:proofErr w:type="spellStart"/>
      <w:r w:rsidRPr="00F547D3">
        <w:rPr>
          <w:rFonts w:ascii="Times New Roman" w:hAnsi="Times New Roman"/>
          <w:sz w:val="28"/>
          <w:szCs w:val="28"/>
        </w:rPr>
        <w:t>васкулит</w:t>
      </w:r>
      <w:proofErr w:type="spellEnd"/>
      <w:r w:rsidRPr="00F547D3">
        <w:rPr>
          <w:rFonts w:ascii="Times New Roman" w:hAnsi="Times New Roman"/>
          <w:sz w:val="28"/>
          <w:szCs w:val="28"/>
        </w:rPr>
        <w:t>)</w:t>
      </w:r>
    </w:p>
    <w:p w:rsidR="00D91C33" w:rsidRPr="00F547D3" w:rsidRDefault="00D91C33" w:rsidP="00356449">
      <w:pPr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респираторный </w:t>
      </w:r>
      <w:proofErr w:type="spellStart"/>
      <w:r w:rsidRPr="00F547D3">
        <w:rPr>
          <w:rFonts w:ascii="Times New Roman" w:hAnsi="Times New Roman"/>
          <w:sz w:val="28"/>
          <w:szCs w:val="28"/>
        </w:rPr>
        <w:t>дистресс</w:t>
      </w:r>
      <w:proofErr w:type="spellEnd"/>
      <w:r w:rsidRPr="00F547D3">
        <w:rPr>
          <w:rFonts w:ascii="Times New Roman" w:hAnsi="Times New Roman"/>
          <w:sz w:val="28"/>
          <w:szCs w:val="28"/>
        </w:rPr>
        <w:t>-синдром, включая пневмонию и отек легких</w:t>
      </w:r>
    </w:p>
    <w:p w:rsidR="00356449" w:rsidRPr="00F547D3" w:rsidRDefault="00356449" w:rsidP="00356449">
      <w:pPr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>раздражение слизистой желудка, диарея, запор, панкреатит</w:t>
      </w:r>
    </w:p>
    <w:p w:rsidR="00356449" w:rsidRPr="00F547D3" w:rsidRDefault="00356449" w:rsidP="00356449">
      <w:pPr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желтуха (внутрипеченочная </w:t>
      </w:r>
      <w:proofErr w:type="spellStart"/>
      <w:r w:rsidRPr="00F547D3">
        <w:rPr>
          <w:rFonts w:ascii="Times New Roman" w:hAnsi="Times New Roman"/>
          <w:sz w:val="28"/>
          <w:szCs w:val="28"/>
        </w:rPr>
        <w:t>холестатическая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желтуха)</w:t>
      </w:r>
    </w:p>
    <w:p w:rsidR="00356449" w:rsidRPr="00F547D3" w:rsidRDefault="00356449" w:rsidP="00356449">
      <w:pPr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реакции </w:t>
      </w:r>
      <w:proofErr w:type="spellStart"/>
      <w:r w:rsidRPr="00F547D3">
        <w:rPr>
          <w:rFonts w:ascii="Times New Roman" w:hAnsi="Times New Roman"/>
          <w:sz w:val="28"/>
          <w:szCs w:val="28"/>
        </w:rPr>
        <w:t>фотосенсибилизации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, сыпь, кожная </w:t>
      </w:r>
      <w:proofErr w:type="spellStart"/>
      <w:proofErr w:type="gramStart"/>
      <w:r w:rsidRPr="00F547D3">
        <w:rPr>
          <w:rFonts w:ascii="Times New Roman" w:hAnsi="Times New Roman"/>
          <w:sz w:val="28"/>
          <w:szCs w:val="28"/>
        </w:rPr>
        <w:t>волчаночноподобная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547D3">
        <w:rPr>
          <w:rFonts w:ascii="Times New Roman" w:hAnsi="Times New Roman"/>
          <w:sz w:val="28"/>
          <w:szCs w:val="28"/>
        </w:rPr>
        <w:t>эритематозная</w:t>
      </w:r>
      <w:proofErr w:type="spellEnd"/>
      <w:proofErr w:type="gramEnd"/>
      <w:r w:rsidRPr="00F547D3">
        <w:rPr>
          <w:rFonts w:ascii="Times New Roman" w:hAnsi="Times New Roman"/>
          <w:sz w:val="28"/>
          <w:szCs w:val="28"/>
        </w:rPr>
        <w:t xml:space="preserve"> реакция, реактивация кожной  </w:t>
      </w:r>
      <w:proofErr w:type="spellStart"/>
      <w:r w:rsidRPr="00F547D3">
        <w:rPr>
          <w:rFonts w:ascii="Times New Roman" w:hAnsi="Times New Roman"/>
          <w:sz w:val="28"/>
          <w:szCs w:val="28"/>
        </w:rPr>
        <w:t>эритематозной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волчанки, крапивница, анафилактические реакции, токсический </w:t>
      </w:r>
      <w:proofErr w:type="spellStart"/>
      <w:r w:rsidRPr="00F547D3">
        <w:rPr>
          <w:rFonts w:ascii="Times New Roman" w:hAnsi="Times New Roman"/>
          <w:sz w:val="28"/>
          <w:szCs w:val="28"/>
        </w:rPr>
        <w:t>эпидермальный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47D3">
        <w:rPr>
          <w:rFonts w:ascii="Times New Roman" w:hAnsi="Times New Roman"/>
          <w:sz w:val="28"/>
          <w:szCs w:val="28"/>
        </w:rPr>
        <w:t>некролиз</w:t>
      </w:r>
      <w:proofErr w:type="spellEnd"/>
    </w:p>
    <w:p w:rsidR="00356449" w:rsidRPr="00F547D3" w:rsidRDefault="00356449" w:rsidP="00356449">
      <w:pPr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>мышечный спазм</w:t>
      </w:r>
    </w:p>
    <w:p w:rsidR="00356449" w:rsidRPr="00F547D3" w:rsidRDefault="00356449" w:rsidP="00356449">
      <w:pPr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>нарушение функции почек, интерстициальный нефрит</w:t>
      </w:r>
    </w:p>
    <w:p w:rsidR="00356449" w:rsidRPr="00F547D3" w:rsidRDefault="00356449" w:rsidP="00341D50">
      <w:pPr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lastRenderedPageBreak/>
        <w:t>лихорадка, слабость</w:t>
      </w:r>
    </w:p>
    <w:p w:rsidR="00FF3388" w:rsidRPr="00F547D3" w:rsidRDefault="00FF3388" w:rsidP="00FF3388">
      <w:pPr>
        <w:pStyle w:val="ac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47D3">
        <w:rPr>
          <w:rFonts w:ascii="Times New Roman" w:hAnsi="Times New Roman"/>
          <w:b/>
          <w:color w:val="000000"/>
          <w:sz w:val="28"/>
          <w:szCs w:val="28"/>
        </w:rPr>
        <w:t>Описание отдельных нежелательных реакций</w:t>
      </w:r>
    </w:p>
    <w:p w:rsidR="000C744B" w:rsidRPr="00F547D3" w:rsidRDefault="00341D50" w:rsidP="00FF3388">
      <w:pPr>
        <w:pStyle w:val="ac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547D3">
        <w:rPr>
          <w:rFonts w:ascii="Times New Roman" w:hAnsi="Times New Roman"/>
          <w:sz w:val="28"/>
          <w:szCs w:val="28"/>
        </w:rPr>
        <w:t>Немеланомный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рак кожи: на основании имеющихся данных эпидемиологических исследований наблюдалась кумулятивная </w:t>
      </w:r>
      <w:proofErr w:type="spellStart"/>
      <w:r w:rsidRPr="00F547D3">
        <w:rPr>
          <w:rFonts w:ascii="Times New Roman" w:hAnsi="Times New Roman"/>
          <w:sz w:val="28"/>
          <w:szCs w:val="28"/>
        </w:rPr>
        <w:t>дозозависимая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связь между </w:t>
      </w:r>
      <w:proofErr w:type="spellStart"/>
      <w:r w:rsidRPr="00F547D3">
        <w:rPr>
          <w:rFonts w:ascii="Times New Roman" w:hAnsi="Times New Roman"/>
          <w:sz w:val="28"/>
          <w:szCs w:val="28"/>
        </w:rPr>
        <w:t>гидрохлоротиазидом</w:t>
      </w:r>
      <w:proofErr w:type="spellEnd"/>
      <w:r w:rsidRPr="00F547D3">
        <w:rPr>
          <w:rFonts w:ascii="Times New Roman" w:hAnsi="Times New Roman"/>
          <w:sz w:val="28"/>
          <w:szCs w:val="28"/>
        </w:rPr>
        <w:t xml:space="preserve"> и НМРК.</w:t>
      </w:r>
    </w:p>
    <w:p w:rsidR="00FF3388" w:rsidRPr="00F547D3" w:rsidRDefault="00FF3388" w:rsidP="00FF3388">
      <w:pPr>
        <w:pStyle w:val="ac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7C2D" w:rsidRPr="00F547D3" w:rsidRDefault="00824318" w:rsidP="00F87C2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b/>
          <w:color w:val="000000"/>
          <w:sz w:val="28"/>
        </w:rPr>
        <w:t xml:space="preserve">При возникновении нежелательных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 </w:t>
      </w:r>
      <w:r w:rsidR="00F87C2D" w:rsidRPr="00F547D3">
        <w:rPr>
          <w:rFonts w:ascii="Times New Roman" w:hAnsi="Times New Roman"/>
          <w:sz w:val="28"/>
          <w:szCs w:val="28"/>
        </w:rPr>
        <w:t>РГП на ПХВ «Национальный центр экспертизы лекарственных средств и медицинских изделий» Комитета медицинского и фармацевтического контроля Министерства здравоохранения Республики Казахстан</w:t>
      </w:r>
    </w:p>
    <w:p w:rsidR="00824318" w:rsidRPr="00F547D3" w:rsidRDefault="00134E27" w:rsidP="00824318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824318" w:rsidRPr="00F547D3">
          <w:rPr>
            <w:rStyle w:val="af"/>
            <w:rFonts w:ascii="Times New Roman" w:hAnsi="Times New Roman"/>
            <w:sz w:val="28"/>
            <w:szCs w:val="28"/>
          </w:rPr>
          <w:t>http://www.ndda.kz</w:t>
        </w:r>
      </w:hyperlink>
    </w:p>
    <w:p w:rsidR="00D93C80" w:rsidRPr="00F547D3" w:rsidRDefault="0051702F" w:rsidP="008477CC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7D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2C4B" w:rsidRPr="00F547D3" w:rsidRDefault="000C2C4B" w:rsidP="008477CC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47D3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:rsidR="006B7A90" w:rsidRPr="00F547D3" w:rsidRDefault="00844CE8" w:rsidP="008477CC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bookmarkStart w:id="3" w:name="2175220285"/>
      <w:r w:rsidRPr="00F547D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Состав </w:t>
      </w:r>
      <w:r w:rsidR="00B8758A" w:rsidRPr="00F547D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лекарственного препарата</w:t>
      </w:r>
    </w:p>
    <w:p w:rsidR="0051702F" w:rsidRPr="00F547D3" w:rsidRDefault="0051702F" w:rsidP="008477C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4" w:name="2175220286"/>
      <w:bookmarkEnd w:id="3"/>
      <w:r w:rsidRPr="00F547D3">
        <w:rPr>
          <w:rFonts w:ascii="Times New Roman" w:hAnsi="Times New Roman"/>
          <w:bCs/>
          <w:iCs/>
          <w:sz w:val="28"/>
          <w:szCs w:val="28"/>
        </w:rPr>
        <w:t>Одна таблетка содержит</w:t>
      </w:r>
    </w:p>
    <w:p w:rsidR="00D15535" w:rsidRPr="00F547D3" w:rsidRDefault="00D15535" w:rsidP="00D15535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F547D3">
        <w:rPr>
          <w:rFonts w:ascii="Times New Roman" w:hAnsi="Times New Roman"/>
          <w:bCs/>
          <w:i/>
          <w:iCs/>
          <w:sz w:val="28"/>
          <w:szCs w:val="28"/>
        </w:rPr>
        <w:t xml:space="preserve">активные вещества: </w:t>
      </w:r>
      <w:r w:rsidRPr="00F547D3">
        <w:rPr>
          <w:rFonts w:ascii="Times New Roman" w:hAnsi="Times New Roman"/>
          <w:bCs/>
          <w:iCs/>
          <w:sz w:val="28"/>
          <w:szCs w:val="28"/>
        </w:rPr>
        <w:t>каптоприл 50 мг и гидрохлоротиазид 25 мг,</w:t>
      </w:r>
    </w:p>
    <w:p w:rsidR="00D15535" w:rsidRPr="00F547D3" w:rsidRDefault="00D15535" w:rsidP="00D15535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547D3">
        <w:rPr>
          <w:rFonts w:ascii="Times New Roman" w:hAnsi="Times New Roman"/>
          <w:bCs/>
          <w:i/>
          <w:iCs/>
          <w:sz w:val="28"/>
          <w:szCs w:val="28"/>
        </w:rPr>
        <w:t xml:space="preserve">вспомогательные вещества: </w:t>
      </w:r>
      <w:r w:rsidRPr="00F547D3">
        <w:rPr>
          <w:rFonts w:ascii="Times New Roman" w:hAnsi="Times New Roman"/>
          <w:bCs/>
          <w:iCs/>
          <w:sz w:val="28"/>
          <w:szCs w:val="28"/>
        </w:rPr>
        <w:t xml:space="preserve">крахмал </w:t>
      </w:r>
      <w:proofErr w:type="spellStart"/>
      <w:r w:rsidRPr="00F547D3">
        <w:rPr>
          <w:rFonts w:ascii="Times New Roman" w:hAnsi="Times New Roman"/>
          <w:bCs/>
          <w:iCs/>
          <w:sz w:val="28"/>
          <w:szCs w:val="28"/>
        </w:rPr>
        <w:t>прежелатинизированный</w:t>
      </w:r>
      <w:proofErr w:type="spellEnd"/>
      <w:r w:rsidRPr="00F547D3">
        <w:rPr>
          <w:rFonts w:ascii="Times New Roman" w:hAnsi="Times New Roman"/>
          <w:bCs/>
          <w:iCs/>
          <w:sz w:val="28"/>
          <w:szCs w:val="28"/>
        </w:rPr>
        <w:t>, целлюлоза микрокристаллическая, лактозы моногидрат, кислота стеариновая, магния стеарат.</w:t>
      </w:r>
    </w:p>
    <w:p w:rsidR="00ED4F3D" w:rsidRPr="00F547D3" w:rsidRDefault="00ED4F3D" w:rsidP="00494B6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547D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bookmarkEnd w:id="4"/>
    <w:p w:rsidR="006B7A90" w:rsidRPr="00F547D3" w:rsidRDefault="00494B65" w:rsidP="00494B65">
      <w:pPr>
        <w:pStyle w:val="ac"/>
        <w:jc w:val="both"/>
        <w:rPr>
          <w:rFonts w:ascii="Times New Roman" w:hAnsi="Times New Roman"/>
          <w:color w:val="000000"/>
          <w:sz w:val="28"/>
          <w:szCs w:val="28"/>
        </w:rPr>
      </w:pPr>
      <w:r w:rsidRPr="00F547D3">
        <w:rPr>
          <w:rFonts w:ascii="Times New Roman" w:hAnsi="Times New Roman"/>
          <w:color w:val="000000"/>
          <w:sz w:val="28"/>
          <w:szCs w:val="28"/>
        </w:rPr>
        <w:t>Таблетки, белого или почти белого цвета овальной формы, с двояковыпуклой поверхностью, с риской на одной стороне. Допускается легкая мраморность поверхности.</w:t>
      </w:r>
    </w:p>
    <w:p w:rsidR="00FE4C45" w:rsidRPr="00F547D3" w:rsidRDefault="00FE4C45" w:rsidP="008477CC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308C" w:rsidRPr="00F547D3" w:rsidRDefault="0051702F" w:rsidP="008477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5" w:name="2175220287"/>
      <w:r w:rsidRPr="00F547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Форма </w:t>
      </w:r>
      <w:r w:rsidR="00C9308C" w:rsidRPr="00F547D3">
        <w:rPr>
          <w:rFonts w:ascii="Times New Roman" w:eastAsia="Times New Roman" w:hAnsi="Times New Roman"/>
          <w:b/>
          <w:sz w:val="28"/>
          <w:szCs w:val="28"/>
          <w:lang w:eastAsia="ru-RU"/>
        </w:rPr>
        <w:t>выпуска и упаковка</w:t>
      </w:r>
    </w:p>
    <w:p w:rsidR="00494B65" w:rsidRPr="00F547D3" w:rsidRDefault="00494B65" w:rsidP="00494B65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  <w:r w:rsidRPr="00F547D3">
        <w:rPr>
          <w:rFonts w:ascii="Times New Roman" w:eastAsia="Batang" w:hAnsi="Times New Roman"/>
          <w:sz w:val="28"/>
          <w:szCs w:val="28"/>
        </w:rPr>
        <w:t xml:space="preserve">По 15 таблеток помещают в контурную ячейковую упаковку из пленки поливинилхлоридной и фольги алюминиевой печатной. </w:t>
      </w:r>
    </w:p>
    <w:p w:rsidR="00FF4B66" w:rsidRPr="00F547D3" w:rsidRDefault="00494B65" w:rsidP="008477CC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  <w:r w:rsidRPr="00F547D3">
        <w:rPr>
          <w:rFonts w:ascii="Times New Roman" w:eastAsia="Batang" w:hAnsi="Times New Roman"/>
          <w:sz w:val="28"/>
          <w:szCs w:val="28"/>
        </w:rPr>
        <w:t>По 2 контурные ячейковые упаковки вместе с инструкцией по применению на казахском и русском языках вкладывают в коробку из картона.</w:t>
      </w:r>
    </w:p>
    <w:p w:rsidR="009455A9" w:rsidRPr="00F547D3" w:rsidRDefault="009455A9" w:rsidP="008477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4CE8" w:rsidRPr="00F547D3" w:rsidRDefault="00844CE8" w:rsidP="008477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47D3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E01AB" w:rsidRPr="00F547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рок </w:t>
      </w:r>
      <w:r w:rsidR="006C6558" w:rsidRPr="00F547D3"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хранения</w:t>
      </w:r>
      <w:r w:rsidR="000E01AB" w:rsidRPr="00F547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14D61" w:rsidRPr="00F547D3" w:rsidRDefault="00494B65" w:rsidP="008477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7D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F414A" w:rsidRPr="00F547D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0E01AB" w:rsidRPr="00F547D3" w:rsidRDefault="00D14D61" w:rsidP="008477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7D3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0E01AB" w:rsidRPr="00F547D3">
        <w:rPr>
          <w:rFonts w:ascii="Times New Roman" w:eastAsia="Times New Roman" w:hAnsi="Times New Roman"/>
          <w:sz w:val="28"/>
          <w:szCs w:val="28"/>
          <w:lang w:eastAsia="ru-RU"/>
        </w:rPr>
        <w:t>примен</w:t>
      </w:r>
      <w:r w:rsidRPr="00F547D3">
        <w:rPr>
          <w:rFonts w:ascii="Times New Roman" w:eastAsia="Times New Roman" w:hAnsi="Times New Roman"/>
          <w:sz w:val="28"/>
          <w:szCs w:val="28"/>
          <w:lang w:eastAsia="ru-RU"/>
        </w:rPr>
        <w:t xml:space="preserve">ять </w:t>
      </w:r>
      <w:r w:rsidR="000E01AB" w:rsidRPr="00F547D3">
        <w:rPr>
          <w:rFonts w:ascii="Times New Roman" w:eastAsia="Times New Roman" w:hAnsi="Times New Roman"/>
          <w:sz w:val="28"/>
          <w:szCs w:val="28"/>
          <w:lang w:eastAsia="ru-RU"/>
        </w:rPr>
        <w:t>по истечении срока годности</w:t>
      </w:r>
      <w:r w:rsidR="007B2F7E" w:rsidRPr="00F547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01AB" w:rsidRPr="00F547D3" w:rsidRDefault="00D14D61" w:rsidP="008477C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6" w:name="2175220288"/>
      <w:bookmarkEnd w:id="5"/>
      <w:r w:rsidRPr="00F547D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Условия хранения</w:t>
      </w:r>
    </w:p>
    <w:p w:rsidR="00DF414A" w:rsidRPr="00F547D3" w:rsidRDefault="00DF414A" w:rsidP="008477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>Хранить при температуре не выше 25°С.</w:t>
      </w:r>
    </w:p>
    <w:p w:rsidR="00D14D61" w:rsidRPr="00F547D3" w:rsidRDefault="00D14D61" w:rsidP="008477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Хранить в недоступном для детей месте! </w:t>
      </w:r>
      <w:bookmarkStart w:id="7" w:name="2175220289"/>
      <w:bookmarkEnd w:id="6"/>
    </w:p>
    <w:bookmarkEnd w:id="7"/>
    <w:p w:rsidR="006B7A90" w:rsidRPr="00F547D3" w:rsidRDefault="006B7A90" w:rsidP="008477CC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558" w:rsidRPr="00F547D3" w:rsidRDefault="006C6558" w:rsidP="008477C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47D3">
        <w:rPr>
          <w:rFonts w:ascii="Times New Roman" w:hAnsi="Times New Roman"/>
          <w:b/>
          <w:color w:val="000000"/>
          <w:sz w:val="28"/>
          <w:szCs w:val="28"/>
        </w:rPr>
        <w:t xml:space="preserve">Условия отпуска из </w:t>
      </w:r>
      <w:r w:rsidR="00DF414A" w:rsidRPr="00F547D3">
        <w:rPr>
          <w:rFonts w:ascii="Times New Roman" w:hAnsi="Times New Roman"/>
          <w:b/>
          <w:color w:val="000000"/>
          <w:sz w:val="28"/>
          <w:szCs w:val="28"/>
        </w:rPr>
        <w:t>аптек</w:t>
      </w:r>
    </w:p>
    <w:p w:rsidR="006C6558" w:rsidRPr="00F547D3" w:rsidRDefault="00DF414A" w:rsidP="008477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7D3">
        <w:rPr>
          <w:rFonts w:ascii="Times New Roman" w:eastAsia="Times New Roman" w:hAnsi="Times New Roman"/>
          <w:sz w:val="28"/>
          <w:szCs w:val="28"/>
          <w:lang w:eastAsia="ru-RU"/>
        </w:rPr>
        <w:t>По рецепту</w:t>
      </w:r>
    </w:p>
    <w:p w:rsidR="00DF414A" w:rsidRPr="00F547D3" w:rsidRDefault="00DF414A" w:rsidP="008477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5FC8" w:rsidRPr="00F547D3" w:rsidRDefault="00665FC8" w:rsidP="00665FC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47D3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 о производителе</w:t>
      </w:r>
    </w:p>
    <w:p w:rsidR="00665FC8" w:rsidRPr="00F547D3" w:rsidRDefault="00665FC8" w:rsidP="00665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lastRenderedPageBreak/>
        <w:t>ТОО «ВИВА ФАРМ», Республика Казахстан</w:t>
      </w:r>
    </w:p>
    <w:p w:rsidR="00665FC8" w:rsidRPr="00F547D3" w:rsidRDefault="00665FC8" w:rsidP="00665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г. Алматы, ул. </w:t>
      </w:r>
      <w:proofErr w:type="spellStart"/>
      <w:r w:rsidRPr="00F547D3">
        <w:rPr>
          <w:rFonts w:ascii="Times New Roman" w:hAnsi="Times New Roman"/>
          <w:sz w:val="28"/>
          <w:szCs w:val="28"/>
        </w:rPr>
        <w:t>Дегдар</w:t>
      </w:r>
      <w:proofErr w:type="spellEnd"/>
      <w:r w:rsidRPr="00F547D3">
        <w:rPr>
          <w:rFonts w:ascii="Times New Roman" w:hAnsi="Times New Roman"/>
          <w:sz w:val="28"/>
          <w:szCs w:val="28"/>
        </w:rPr>
        <w:t>, 33</w:t>
      </w:r>
    </w:p>
    <w:p w:rsidR="00FE0B0F" w:rsidRPr="00F547D3" w:rsidRDefault="00665FC8" w:rsidP="00665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>Тел.: +7 (727) 383 74 63</w:t>
      </w:r>
    </w:p>
    <w:p w:rsidR="00665FC8" w:rsidRPr="00F547D3" w:rsidRDefault="00FE0B0F" w:rsidP="00665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>Ф</w:t>
      </w:r>
      <w:r w:rsidR="00665FC8" w:rsidRPr="00F547D3">
        <w:rPr>
          <w:rFonts w:ascii="Times New Roman" w:hAnsi="Times New Roman"/>
          <w:sz w:val="28"/>
          <w:szCs w:val="28"/>
        </w:rPr>
        <w:t xml:space="preserve">акс: +7 (727) 383 74 56 </w:t>
      </w:r>
    </w:p>
    <w:p w:rsidR="00665FC8" w:rsidRPr="00F547D3" w:rsidRDefault="00665FC8" w:rsidP="00665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eastAsia="Microsoft Sans Serif" w:hAnsi="Times New Roman"/>
          <w:sz w:val="28"/>
          <w:szCs w:val="28"/>
          <w:lang w:bidi="ru-RU"/>
        </w:rPr>
        <w:t xml:space="preserve">Электронная почта: </w:t>
      </w:r>
      <w:hyperlink r:id="rId9" w:history="1">
        <w:r w:rsidRPr="00F547D3">
          <w:rPr>
            <w:rStyle w:val="af"/>
            <w:rFonts w:ascii="Times New Roman" w:hAnsi="Times New Roman"/>
            <w:sz w:val="28"/>
            <w:szCs w:val="28"/>
          </w:rPr>
          <w:t>pv@vivapharm.kz</w:t>
        </w:r>
      </w:hyperlink>
    </w:p>
    <w:p w:rsidR="00665FC8" w:rsidRPr="00F547D3" w:rsidRDefault="00665FC8" w:rsidP="00665FC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47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65FC8" w:rsidRPr="00F547D3" w:rsidRDefault="00665FC8" w:rsidP="00665FC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47D3">
        <w:rPr>
          <w:rFonts w:ascii="Times New Roman" w:eastAsia="Times New Roman" w:hAnsi="Times New Roman"/>
          <w:b/>
          <w:sz w:val="28"/>
          <w:szCs w:val="28"/>
          <w:lang w:eastAsia="ru-RU"/>
        </w:rPr>
        <w:t>Держатель регистрационного удостоверения</w:t>
      </w:r>
    </w:p>
    <w:p w:rsidR="00665FC8" w:rsidRPr="00F547D3" w:rsidRDefault="00665FC8" w:rsidP="00665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>ТОО «ВИВА ФАРМ», Республика Казахстан</w:t>
      </w:r>
    </w:p>
    <w:p w:rsidR="00665FC8" w:rsidRPr="00F547D3" w:rsidRDefault="00665FC8" w:rsidP="00665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г. Алматы, ул. </w:t>
      </w:r>
      <w:proofErr w:type="spellStart"/>
      <w:r w:rsidRPr="00F547D3">
        <w:rPr>
          <w:rFonts w:ascii="Times New Roman" w:hAnsi="Times New Roman"/>
          <w:sz w:val="28"/>
          <w:szCs w:val="28"/>
        </w:rPr>
        <w:t>Дегдар</w:t>
      </w:r>
      <w:proofErr w:type="spellEnd"/>
      <w:r w:rsidRPr="00F547D3">
        <w:rPr>
          <w:rFonts w:ascii="Times New Roman" w:hAnsi="Times New Roman"/>
          <w:sz w:val="28"/>
          <w:szCs w:val="28"/>
        </w:rPr>
        <w:t>, 33</w:t>
      </w:r>
    </w:p>
    <w:p w:rsidR="00172D87" w:rsidRPr="00F547D3" w:rsidRDefault="00172D87" w:rsidP="00172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>Тел.: +7 (727) 383 74 63</w:t>
      </w:r>
    </w:p>
    <w:p w:rsidR="00172D87" w:rsidRPr="00F547D3" w:rsidRDefault="00172D87" w:rsidP="00172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Факс: +7 (727) 383 74 56 </w:t>
      </w:r>
    </w:p>
    <w:p w:rsidR="00665FC8" w:rsidRPr="00F547D3" w:rsidRDefault="00665FC8" w:rsidP="00665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eastAsia="Microsoft Sans Serif" w:hAnsi="Times New Roman"/>
          <w:sz w:val="28"/>
          <w:szCs w:val="28"/>
          <w:lang w:bidi="ru-RU"/>
        </w:rPr>
        <w:t xml:space="preserve">Электронная почта: </w:t>
      </w:r>
      <w:hyperlink r:id="rId10" w:history="1">
        <w:r w:rsidRPr="00F547D3">
          <w:rPr>
            <w:rStyle w:val="af"/>
            <w:rFonts w:ascii="Times New Roman" w:hAnsi="Times New Roman"/>
            <w:sz w:val="28"/>
            <w:szCs w:val="28"/>
          </w:rPr>
          <w:t>pv@vivapharm.kz</w:t>
        </w:r>
      </w:hyperlink>
    </w:p>
    <w:p w:rsidR="00665FC8" w:rsidRPr="00F547D3" w:rsidRDefault="00665FC8" w:rsidP="00665FC8">
      <w:pPr>
        <w:tabs>
          <w:tab w:val="left" w:pos="1029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F547D3">
        <w:rPr>
          <w:rFonts w:ascii="Times New Roman" w:hAnsi="Times New Roman"/>
          <w:b/>
          <w:iCs/>
          <w:sz w:val="28"/>
          <w:szCs w:val="28"/>
        </w:rPr>
        <w:tab/>
      </w:r>
    </w:p>
    <w:p w:rsidR="00665FC8" w:rsidRPr="00F547D3" w:rsidRDefault="00665FC8" w:rsidP="00665FC8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  <w:lang w:eastAsia="de-DE"/>
        </w:rPr>
      </w:pPr>
      <w:r w:rsidRPr="00F547D3">
        <w:rPr>
          <w:rFonts w:ascii="Times New Roman" w:hAnsi="Times New Roman"/>
          <w:b/>
          <w:iCs/>
          <w:sz w:val="28"/>
          <w:szCs w:val="28"/>
        </w:rPr>
        <w:t xml:space="preserve">Наименование, адрес и контактные данные (телефон, </w:t>
      </w:r>
      <w:r w:rsidR="00C26490" w:rsidRPr="00F547D3">
        <w:rPr>
          <w:rFonts w:ascii="Times New Roman" w:hAnsi="Times New Roman"/>
          <w:b/>
          <w:iCs/>
          <w:sz w:val="28"/>
          <w:szCs w:val="28"/>
        </w:rPr>
        <w:t xml:space="preserve">факс, электронная </w:t>
      </w:r>
      <w:r w:rsidRPr="00F547D3">
        <w:rPr>
          <w:rFonts w:ascii="Times New Roman" w:hAnsi="Times New Roman"/>
          <w:b/>
          <w:iCs/>
          <w:sz w:val="28"/>
          <w:szCs w:val="28"/>
        </w:rPr>
        <w:t>почта) организации</w:t>
      </w:r>
      <w:r w:rsidRPr="00F547D3">
        <w:rPr>
          <w:rFonts w:ascii="Times New Roman" w:hAnsi="Times New Roman"/>
          <w:b/>
          <w:iCs/>
          <w:color w:val="000000"/>
          <w:sz w:val="28"/>
          <w:szCs w:val="28"/>
        </w:rPr>
        <w:t xml:space="preserve"> на территории Республики Казахстан, принимающей претензии (предложения) по качеству лекарственных средств от</w:t>
      </w:r>
      <w:r w:rsidR="00494B65" w:rsidRPr="00F547D3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="00C26490" w:rsidRPr="00F547D3">
        <w:rPr>
          <w:rFonts w:ascii="Times New Roman" w:hAnsi="Times New Roman"/>
          <w:b/>
          <w:iCs/>
          <w:color w:val="000000"/>
          <w:sz w:val="28"/>
          <w:szCs w:val="28"/>
        </w:rPr>
        <w:t xml:space="preserve">потребителей </w:t>
      </w:r>
      <w:r w:rsidRPr="00F547D3">
        <w:rPr>
          <w:rFonts w:ascii="Times New Roman" w:hAnsi="Times New Roman"/>
          <w:b/>
          <w:iCs/>
          <w:color w:val="000000"/>
          <w:sz w:val="28"/>
          <w:szCs w:val="28"/>
        </w:rPr>
        <w:t>и</w:t>
      </w:r>
      <w:r w:rsidR="003A57D9" w:rsidRPr="00F547D3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="00C26490" w:rsidRPr="00F547D3">
        <w:rPr>
          <w:rFonts w:ascii="Times New Roman" w:hAnsi="Times New Roman"/>
          <w:b/>
          <w:iCs/>
          <w:color w:val="000000"/>
          <w:sz w:val="28"/>
          <w:szCs w:val="28"/>
          <w:lang w:eastAsia="de-DE"/>
        </w:rPr>
        <w:t xml:space="preserve">ответственной за </w:t>
      </w:r>
      <w:r w:rsidRPr="00F547D3">
        <w:rPr>
          <w:rFonts w:ascii="Times New Roman" w:hAnsi="Times New Roman"/>
          <w:b/>
          <w:iCs/>
          <w:color w:val="000000"/>
          <w:sz w:val="28"/>
          <w:szCs w:val="28"/>
          <w:lang w:eastAsia="de-DE"/>
        </w:rPr>
        <w:t>пострегистрационное наблюдение за безопасностью лекарственного средства</w:t>
      </w:r>
    </w:p>
    <w:p w:rsidR="00665FC8" w:rsidRPr="00F547D3" w:rsidRDefault="00665FC8" w:rsidP="00665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>ТОО «ВИВА ФАРМ», Республика Казахстан</w:t>
      </w:r>
    </w:p>
    <w:p w:rsidR="00665FC8" w:rsidRPr="00F547D3" w:rsidRDefault="00EF7E0F" w:rsidP="00665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050030, </w:t>
      </w:r>
      <w:r w:rsidR="00665FC8" w:rsidRPr="00F547D3">
        <w:rPr>
          <w:rFonts w:ascii="Times New Roman" w:hAnsi="Times New Roman"/>
          <w:sz w:val="28"/>
          <w:szCs w:val="28"/>
        </w:rPr>
        <w:t xml:space="preserve">г. Алматы, ул. </w:t>
      </w:r>
      <w:proofErr w:type="spellStart"/>
      <w:r w:rsidR="00665FC8" w:rsidRPr="00F547D3">
        <w:rPr>
          <w:rFonts w:ascii="Times New Roman" w:hAnsi="Times New Roman"/>
          <w:sz w:val="28"/>
          <w:szCs w:val="28"/>
        </w:rPr>
        <w:t>Дегдар</w:t>
      </w:r>
      <w:proofErr w:type="spellEnd"/>
      <w:r w:rsidR="00665FC8" w:rsidRPr="00F547D3">
        <w:rPr>
          <w:rFonts w:ascii="Times New Roman" w:hAnsi="Times New Roman"/>
          <w:sz w:val="28"/>
          <w:szCs w:val="28"/>
        </w:rPr>
        <w:t>, 33</w:t>
      </w:r>
    </w:p>
    <w:p w:rsidR="00172D87" w:rsidRPr="00F547D3" w:rsidRDefault="00172D87" w:rsidP="00172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>Тел.: +7 (727) 383 74 63</w:t>
      </w:r>
    </w:p>
    <w:p w:rsidR="00172D87" w:rsidRPr="00F547D3" w:rsidRDefault="00172D87" w:rsidP="00172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hAnsi="Times New Roman"/>
          <w:sz w:val="28"/>
          <w:szCs w:val="28"/>
        </w:rPr>
        <w:t xml:space="preserve">Факс: +7 (727) 383 74 56 </w:t>
      </w:r>
    </w:p>
    <w:p w:rsidR="00665FC8" w:rsidRPr="00F547D3" w:rsidRDefault="00665FC8" w:rsidP="00665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47D3">
        <w:rPr>
          <w:rFonts w:ascii="Times New Roman" w:eastAsia="Microsoft Sans Serif" w:hAnsi="Times New Roman"/>
          <w:sz w:val="28"/>
          <w:szCs w:val="28"/>
          <w:lang w:bidi="ru-RU"/>
        </w:rPr>
        <w:t xml:space="preserve">Электронная почта: </w:t>
      </w:r>
      <w:hyperlink r:id="rId11" w:history="1">
        <w:r w:rsidRPr="00F547D3">
          <w:rPr>
            <w:rStyle w:val="af"/>
            <w:rFonts w:ascii="Times New Roman" w:hAnsi="Times New Roman"/>
            <w:sz w:val="28"/>
            <w:szCs w:val="28"/>
          </w:rPr>
          <w:t>pv@vivapharm.kz</w:t>
        </w:r>
      </w:hyperlink>
    </w:p>
    <w:p w:rsidR="00665FC8" w:rsidRPr="00F547D3" w:rsidRDefault="00665FC8" w:rsidP="00665FC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414A" w:rsidRPr="00F547D3" w:rsidRDefault="00DF414A" w:rsidP="00665F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584" w:rsidRDefault="00134E27">
      <w:r>
        <w:rPr>
          <w:rFonts w:ascii="Times New Roman" w:eastAsia="Times New Roman" w:hAnsi="Times New Roman"/>
        </w:rPr>
        <w:t>Решение: N065990</w:t>
      </w:r>
      <w:r>
        <w:rPr>
          <w:rFonts w:ascii="Times New Roman" w:eastAsia="Times New Roman" w:hAnsi="Times New Roman"/>
        </w:rPr>
        <w:br/>
        <w:t>Дата решения: 07.08.2023</w:t>
      </w:r>
      <w:r>
        <w:rPr>
          <w:rFonts w:ascii="Times New Roman" w:eastAsia="Times New Roman" w:hAnsi="Times New Roman"/>
        </w:rPr>
        <w:br/>
        <w:t xml:space="preserve">Фамилия, имя, отчество (при его наличии) руководителя государственного органа (или </w:t>
      </w:r>
      <w:r>
        <w:rPr>
          <w:rFonts w:ascii="Times New Roman" w:eastAsia="Times New Roman" w:hAnsi="Times New Roman"/>
        </w:rPr>
        <w:t>уполномоченное лицо): Кашкымбаева Л. Р.</w:t>
      </w:r>
      <w:r>
        <w:rPr>
          <w:rFonts w:ascii="Times New Roman" w:eastAsia="Times New Roman" w:hAnsi="Times New Roman"/>
        </w:rPr>
        <w:br/>
        <w:t>(Комитет медицинского и фармацевтического контроля Министерства здравоохранения Республики Казахстан)</w:t>
      </w:r>
      <w:r>
        <w:rPr>
          <w:rFonts w:ascii="Times New Roman" w:eastAsia="Times New Roman" w:hAnsi="Times New Roman"/>
        </w:rPr>
        <w:br/>
        <w:t>Данный документ согласно пункту 1 статьи 7 ЗРК от 7 января 2003 года «Об электронном документе и электронной цифро</w:t>
      </w:r>
      <w:r>
        <w:rPr>
          <w:rFonts w:ascii="Times New Roman" w:eastAsia="Times New Roman" w:hAnsi="Times New Roman"/>
        </w:rPr>
        <w:t>вой подписи» равнозначен документу на бумажном носителе</w:t>
      </w:r>
    </w:p>
    <w:sectPr w:rsidR="008D0584" w:rsidSect="00F97B57">
      <w:headerReference w:type="default" r:id="rId12"/>
      <w:footerReference w:type="even" r:id="rId13"/>
      <w:footerReference w:type="first" r:id="rId1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E27" w:rsidRDefault="00134E27" w:rsidP="00D275FC">
      <w:pPr>
        <w:spacing w:after="0" w:line="240" w:lineRule="auto"/>
      </w:pPr>
      <w:r>
        <w:separator/>
      </w:r>
    </w:p>
  </w:endnote>
  <w:endnote w:type="continuationSeparator" w:id="0">
    <w:p w:rsidR="00134E27" w:rsidRDefault="00134E27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134E27"/>
  <w:p w:rsidR="008D0584" w:rsidRDefault="00134E27">
    <w:r>
      <w:rPr>
        <w:rFonts w:ascii="Times New Roman" w:eastAsia="Times New Roman" w:hAnsi="Times New Roman"/>
      </w:rPr>
      <w:t>Решение: N065990</w:t>
    </w:r>
    <w:r>
      <w:rPr>
        <w:rFonts w:ascii="Times New Roman" w:eastAsia="Times New Roman" w:hAnsi="Times New Roman"/>
      </w:rPr>
      <w:br/>
      <w:t>Дата решения: 07.08.2023</w:t>
    </w:r>
    <w:r>
      <w:rPr>
        <w:rFonts w:ascii="Times New Roman" w:eastAsia="Times New Roman" w:hAnsi="Times New Roman"/>
      </w:rPr>
      <w:br/>
      <w:t>Фамилия, имя, отчество (при его наличии) руководителя государственного органа (или уполномоченное лицо): Кашкымбаева Л. Р.</w:t>
    </w:r>
    <w:r>
      <w:rPr>
        <w:rFonts w:ascii="Times New Roman" w:eastAsia="Times New Roman" w:hAnsi="Times New Roman"/>
      </w:rPr>
      <w:br/>
      <w:t>(Комитет медицинского и</w:t>
    </w:r>
    <w:r>
      <w:rPr>
        <w:rFonts w:ascii="Times New Roman" w:eastAsia="Times New Roman" w:hAnsi="Times New Roman"/>
      </w:rPr>
      <w:t xml:space="preserve"> фармацевтического контроля Министерства здравоохранения Республики Казахстан)</w:t>
    </w:r>
    <w:r>
      <w:rPr>
        <w:rFonts w:ascii="Times New Roman" w:eastAsia="Times New Roman" w:hAnsi="Times New Roman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134E27"/>
  <w:p w:rsidR="008D0584" w:rsidRDefault="00134E27">
    <w:r>
      <w:rPr>
        <w:rFonts w:ascii="Times New Roman" w:eastAsia="Times New Roman" w:hAnsi="Times New Roman"/>
      </w:rPr>
      <w:t>Решени</w:t>
    </w:r>
    <w:r>
      <w:rPr>
        <w:rFonts w:ascii="Times New Roman" w:eastAsia="Times New Roman" w:hAnsi="Times New Roman"/>
      </w:rPr>
      <w:t>е: N065990</w:t>
    </w:r>
    <w:r>
      <w:rPr>
        <w:rFonts w:ascii="Times New Roman" w:eastAsia="Times New Roman" w:hAnsi="Times New Roman"/>
      </w:rPr>
      <w:br/>
      <w:t>Дата решения: 07.08.2023</w:t>
    </w:r>
    <w:r>
      <w:rPr>
        <w:rFonts w:ascii="Times New Roman" w:eastAsia="Times New Roman" w:hAnsi="Times New Roman"/>
      </w:rPr>
      <w:br/>
      <w:t>Фамилия, имя, отчество (при его наличии) руководителя государственного органа (или уполномоченное лицо): Кашкымбаева Л. Р.</w:t>
    </w:r>
    <w:r>
      <w:rPr>
        <w:rFonts w:ascii="Times New Roman" w:eastAsia="Times New Roman" w:hAnsi="Times New Roman"/>
      </w:rPr>
      <w:br/>
      <w:t>(Комитет медицинского и фармацевтического контроля Министерства здравоохранения Республики Казахс</w:t>
    </w:r>
    <w:r>
      <w:rPr>
        <w:rFonts w:ascii="Times New Roman" w:eastAsia="Times New Roman" w:hAnsi="Times New Roman"/>
      </w:rPr>
      <w:t>тан)</w:t>
    </w:r>
    <w:r>
      <w:rPr>
        <w:rFonts w:ascii="Times New Roman" w:eastAsia="Times New Roman" w:hAnsi="Times New Roman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E27" w:rsidRDefault="00134E27" w:rsidP="00D275FC">
      <w:pPr>
        <w:spacing w:after="0" w:line="240" w:lineRule="auto"/>
      </w:pPr>
      <w:r>
        <w:separator/>
      </w:r>
    </w:p>
  </w:footnote>
  <w:footnote w:type="continuationSeparator" w:id="0">
    <w:p w:rsidR="00134E27" w:rsidRDefault="00134E27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5FC" w:rsidRDefault="005B4CCD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619125</wp:posOffset>
              </wp:positionV>
              <wp:extent cx="381000" cy="3742055"/>
              <wp:effectExtent l="3175" t="0" r="0" b="127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13FF" w:rsidRPr="004913FF" w:rsidRDefault="004913FF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80.25pt;margin-top:48.75pt;width:30pt;height:29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" stroked="f">
              <v:textbox style="layout-flow:vertical;mso-layout-flow-alt:bottom-to-top">
                <w:txbxContent>
                  <w:p w:rsidR="004913FF" w:rsidRPr="004913FF" w:rsidRDefault="004913FF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2" o:spid="_x0000_s1027" type="#_x0000_t202" style="position:absolute;margin-left:494.4pt;margin-top:48.75pt;width:30pt;height:29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" filled="f" stroked="f" strokeweight=".5pt">
              <v:path arrowok="t"/>
              <v:textbox style="layout-flow:vertical;mso-layout-flow-alt:bottom-to-top">
                <w:txbxContent>
                  <w:p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331AD"/>
    <w:multiLevelType w:val="hybridMultilevel"/>
    <w:tmpl w:val="FBE4EF7A"/>
    <w:lvl w:ilvl="0" w:tplc="3DDCAD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863A5"/>
    <w:multiLevelType w:val="hybridMultilevel"/>
    <w:tmpl w:val="0CA2F75C"/>
    <w:lvl w:ilvl="0" w:tplc="10A288D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C7169"/>
    <w:multiLevelType w:val="hybridMultilevel"/>
    <w:tmpl w:val="FFC0112C"/>
    <w:lvl w:ilvl="0" w:tplc="4E847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839B7"/>
    <w:multiLevelType w:val="hybridMultilevel"/>
    <w:tmpl w:val="AB567774"/>
    <w:lvl w:ilvl="0" w:tplc="60589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5648B"/>
    <w:multiLevelType w:val="hybridMultilevel"/>
    <w:tmpl w:val="0E669F70"/>
    <w:lvl w:ilvl="0" w:tplc="3DDCAD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64E16"/>
    <w:multiLevelType w:val="hybridMultilevel"/>
    <w:tmpl w:val="DEDC224C"/>
    <w:lvl w:ilvl="0" w:tplc="E09A1D6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17123B"/>
    <w:multiLevelType w:val="hybridMultilevel"/>
    <w:tmpl w:val="0E067C26"/>
    <w:lvl w:ilvl="0" w:tplc="EB18B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F5384"/>
    <w:multiLevelType w:val="hybridMultilevel"/>
    <w:tmpl w:val="73E82FF2"/>
    <w:lvl w:ilvl="0" w:tplc="EB18B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65425"/>
    <w:multiLevelType w:val="hybridMultilevel"/>
    <w:tmpl w:val="960E204E"/>
    <w:lvl w:ilvl="0" w:tplc="3DDCAD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72002A"/>
    <w:multiLevelType w:val="hybridMultilevel"/>
    <w:tmpl w:val="ECB43AB2"/>
    <w:lvl w:ilvl="0" w:tplc="3DDCAD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01BF9"/>
    <w:multiLevelType w:val="hybridMultilevel"/>
    <w:tmpl w:val="9B1639B8"/>
    <w:lvl w:ilvl="0" w:tplc="3DDCAD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16944"/>
    <w:multiLevelType w:val="hybridMultilevel"/>
    <w:tmpl w:val="0560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774E4A"/>
    <w:multiLevelType w:val="hybridMultilevel"/>
    <w:tmpl w:val="41BC2654"/>
    <w:lvl w:ilvl="0" w:tplc="EB18B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2954FC"/>
    <w:multiLevelType w:val="hybridMultilevel"/>
    <w:tmpl w:val="34760962"/>
    <w:lvl w:ilvl="0" w:tplc="EB18B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AD75A0"/>
    <w:multiLevelType w:val="hybridMultilevel"/>
    <w:tmpl w:val="595EF07A"/>
    <w:lvl w:ilvl="0" w:tplc="EB18B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075B1B"/>
    <w:multiLevelType w:val="hybridMultilevel"/>
    <w:tmpl w:val="A7AE2A06"/>
    <w:lvl w:ilvl="0" w:tplc="3DDCAD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FA0666"/>
    <w:multiLevelType w:val="hybridMultilevel"/>
    <w:tmpl w:val="3BBC147E"/>
    <w:lvl w:ilvl="0" w:tplc="60589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266C51"/>
    <w:multiLevelType w:val="hybridMultilevel"/>
    <w:tmpl w:val="52B0B334"/>
    <w:lvl w:ilvl="0" w:tplc="60589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05991"/>
    <w:multiLevelType w:val="hybridMultilevel"/>
    <w:tmpl w:val="933873F4"/>
    <w:lvl w:ilvl="0" w:tplc="EB18B1AC">
      <w:start w:val="1"/>
      <w:numFmt w:val="bullet"/>
      <w:lvlText w:val=""/>
      <w:lvlJc w:val="left"/>
      <w:pPr>
        <w:ind w:left="1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31" w15:restartNumberingAfterBreak="0">
    <w:nsid w:val="487A2701"/>
    <w:multiLevelType w:val="hybridMultilevel"/>
    <w:tmpl w:val="09BCACE6"/>
    <w:lvl w:ilvl="0" w:tplc="05E21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B605CE"/>
    <w:multiLevelType w:val="hybridMultilevel"/>
    <w:tmpl w:val="5BBE223A"/>
    <w:lvl w:ilvl="0" w:tplc="60589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053F54"/>
    <w:multiLevelType w:val="hybridMultilevel"/>
    <w:tmpl w:val="898A0162"/>
    <w:lvl w:ilvl="0" w:tplc="EB18B1AC">
      <w:start w:val="1"/>
      <w:numFmt w:val="bullet"/>
      <w:lvlText w:val=""/>
      <w:lvlJc w:val="left"/>
      <w:pPr>
        <w:ind w:left="668" w:hanging="567"/>
      </w:pPr>
      <w:rPr>
        <w:rFonts w:ascii="Symbol" w:hAnsi="Symbol" w:hint="default"/>
        <w:w w:val="100"/>
      </w:rPr>
    </w:lvl>
    <w:lvl w:ilvl="1" w:tplc="E5DCA9E6">
      <w:numFmt w:val="bullet"/>
      <w:lvlText w:val="o"/>
      <w:lvlJc w:val="left"/>
      <w:pPr>
        <w:ind w:left="1541" w:hanging="360"/>
      </w:pPr>
      <w:rPr>
        <w:rFonts w:ascii="Courier New" w:eastAsia="Times New Roman" w:hAnsi="Courier New" w:hint="default"/>
        <w:w w:val="100"/>
        <w:sz w:val="22"/>
      </w:rPr>
    </w:lvl>
    <w:lvl w:ilvl="2" w:tplc="68D66500">
      <w:numFmt w:val="bullet"/>
      <w:lvlText w:val="•"/>
      <w:lvlJc w:val="left"/>
      <w:pPr>
        <w:ind w:left="2337" w:hanging="360"/>
      </w:pPr>
      <w:rPr>
        <w:rFonts w:hint="default"/>
      </w:rPr>
    </w:lvl>
    <w:lvl w:ilvl="3" w:tplc="20167704">
      <w:numFmt w:val="bullet"/>
      <w:lvlText w:val="•"/>
      <w:lvlJc w:val="left"/>
      <w:pPr>
        <w:ind w:left="3135" w:hanging="360"/>
      </w:pPr>
      <w:rPr>
        <w:rFonts w:hint="default"/>
      </w:rPr>
    </w:lvl>
    <w:lvl w:ilvl="4" w:tplc="342E4A2C">
      <w:numFmt w:val="bullet"/>
      <w:lvlText w:val="•"/>
      <w:lvlJc w:val="left"/>
      <w:pPr>
        <w:ind w:left="3933" w:hanging="360"/>
      </w:pPr>
      <w:rPr>
        <w:rFonts w:hint="default"/>
      </w:rPr>
    </w:lvl>
    <w:lvl w:ilvl="5" w:tplc="EE90D0C0">
      <w:numFmt w:val="bullet"/>
      <w:lvlText w:val="•"/>
      <w:lvlJc w:val="left"/>
      <w:pPr>
        <w:ind w:left="4731" w:hanging="360"/>
      </w:pPr>
      <w:rPr>
        <w:rFonts w:hint="default"/>
      </w:rPr>
    </w:lvl>
    <w:lvl w:ilvl="6" w:tplc="F1FACDBE">
      <w:numFmt w:val="bullet"/>
      <w:lvlText w:val="•"/>
      <w:lvlJc w:val="left"/>
      <w:pPr>
        <w:ind w:left="5528" w:hanging="360"/>
      </w:pPr>
      <w:rPr>
        <w:rFonts w:hint="default"/>
      </w:rPr>
    </w:lvl>
    <w:lvl w:ilvl="7" w:tplc="A1142262">
      <w:numFmt w:val="bullet"/>
      <w:lvlText w:val="•"/>
      <w:lvlJc w:val="left"/>
      <w:pPr>
        <w:ind w:left="6326" w:hanging="360"/>
      </w:pPr>
      <w:rPr>
        <w:rFonts w:hint="default"/>
      </w:rPr>
    </w:lvl>
    <w:lvl w:ilvl="8" w:tplc="519E77EE">
      <w:numFmt w:val="bullet"/>
      <w:lvlText w:val="•"/>
      <w:lvlJc w:val="left"/>
      <w:pPr>
        <w:ind w:left="7124" w:hanging="360"/>
      </w:pPr>
      <w:rPr>
        <w:rFonts w:hint="default"/>
      </w:rPr>
    </w:lvl>
  </w:abstractNum>
  <w:abstractNum w:abstractNumId="34" w15:restartNumberingAfterBreak="0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D827DD"/>
    <w:multiLevelType w:val="hybridMultilevel"/>
    <w:tmpl w:val="09F0A2DC"/>
    <w:lvl w:ilvl="0" w:tplc="60589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38780D"/>
    <w:multiLevelType w:val="hybridMultilevel"/>
    <w:tmpl w:val="DC64A1BC"/>
    <w:lvl w:ilvl="0" w:tplc="EB18B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DC55E5"/>
    <w:multiLevelType w:val="hybridMultilevel"/>
    <w:tmpl w:val="EC9EEBE4"/>
    <w:lvl w:ilvl="0" w:tplc="354E79C0"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7"/>
  </w:num>
  <w:num w:numId="3">
    <w:abstractNumId w:val="3"/>
  </w:num>
  <w:num w:numId="4">
    <w:abstractNumId w:val="43"/>
  </w:num>
  <w:num w:numId="5">
    <w:abstractNumId w:val="48"/>
  </w:num>
  <w:num w:numId="6">
    <w:abstractNumId w:val="9"/>
  </w:num>
  <w:num w:numId="7">
    <w:abstractNumId w:val="46"/>
  </w:num>
  <w:num w:numId="8">
    <w:abstractNumId w:val="16"/>
  </w:num>
  <w:num w:numId="9">
    <w:abstractNumId w:val="37"/>
  </w:num>
  <w:num w:numId="10">
    <w:abstractNumId w:val="17"/>
  </w:num>
  <w:num w:numId="11">
    <w:abstractNumId w:val="36"/>
  </w:num>
  <w:num w:numId="12">
    <w:abstractNumId w:val="42"/>
  </w:num>
  <w:num w:numId="13">
    <w:abstractNumId w:val="44"/>
  </w:num>
  <w:num w:numId="14">
    <w:abstractNumId w:val="27"/>
  </w:num>
  <w:num w:numId="15">
    <w:abstractNumId w:val="0"/>
  </w:num>
  <w:num w:numId="16">
    <w:abstractNumId w:val="47"/>
  </w:num>
  <w:num w:numId="17">
    <w:abstractNumId w:val="35"/>
  </w:num>
  <w:num w:numId="18">
    <w:abstractNumId w:val="34"/>
  </w:num>
  <w:num w:numId="19">
    <w:abstractNumId w:val="15"/>
  </w:num>
  <w:num w:numId="20">
    <w:abstractNumId w:val="1"/>
  </w:num>
  <w:num w:numId="21">
    <w:abstractNumId w:val="23"/>
  </w:num>
  <w:num w:numId="22">
    <w:abstractNumId w:val="8"/>
  </w:num>
  <w:num w:numId="23">
    <w:abstractNumId w:val="45"/>
  </w:num>
  <w:num w:numId="24">
    <w:abstractNumId w:val="25"/>
  </w:num>
  <w:num w:numId="25">
    <w:abstractNumId w:val="20"/>
  </w:num>
  <w:num w:numId="26">
    <w:abstractNumId w:val="30"/>
  </w:num>
  <w:num w:numId="27">
    <w:abstractNumId w:val="33"/>
  </w:num>
  <w:num w:numId="28">
    <w:abstractNumId w:val="39"/>
  </w:num>
  <w:num w:numId="29">
    <w:abstractNumId w:val="4"/>
  </w:num>
  <w:num w:numId="30">
    <w:abstractNumId w:val="11"/>
  </w:num>
  <w:num w:numId="31">
    <w:abstractNumId w:val="32"/>
  </w:num>
  <w:num w:numId="32">
    <w:abstractNumId w:val="28"/>
  </w:num>
  <w:num w:numId="33">
    <w:abstractNumId w:val="6"/>
  </w:num>
  <w:num w:numId="34">
    <w:abstractNumId w:val="29"/>
  </w:num>
  <w:num w:numId="35">
    <w:abstractNumId w:val="41"/>
  </w:num>
  <w:num w:numId="36">
    <w:abstractNumId w:val="26"/>
  </w:num>
  <w:num w:numId="37">
    <w:abstractNumId w:val="2"/>
  </w:num>
  <w:num w:numId="38">
    <w:abstractNumId w:val="14"/>
  </w:num>
  <w:num w:numId="39">
    <w:abstractNumId w:val="10"/>
  </w:num>
  <w:num w:numId="40">
    <w:abstractNumId w:val="18"/>
  </w:num>
  <w:num w:numId="41">
    <w:abstractNumId w:val="19"/>
  </w:num>
  <w:num w:numId="42">
    <w:abstractNumId w:val="21"/>
  </w:num>
  <w:num w:numId="43">
    <w:abstractNumId w:val="5"/>
  </w:num>
  <w:num w:numId="44">
    <w:abstractNumId w:val="38"/>
  </w:num>
  <w:num w:numId="45">
    <w:abstractNumId w:val="24"/>
  </w:num>
  <w:num w:numId="46">
    <w:abstractNumId w:val="12"/>
  </w:num>
  <w:num w:numId="47">
    <w:abstractNumId w:val="22"/>
  </w:num>
  <w:num w:numId="48">
    <w:abstractNumId w:val="13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48"/>
    <w:rsid w:val="00001E15"/>
    <w:rsid w:val="00001F06"/>
    <w:rsid w:val="00002A38"/>
    <w:rsid w:val="000066B6"/>
    <w:rsid w:val="00010371"/>
    <w:rsid w:val="00024E82"/>
    <w:rsid w:val="000264BB"/>
    <w:rsid w:val="000324E6"/>
    <w:rsid w:val="00033FC1"/>
    <w:rsid w:val="000413DB"/>
    <w:rsid w:val="00042999"/>
    <w:rsid w:val="000458C8"/>
    <w:rsid w:val="00050631"/>
    <w:rsid w:val="0006225B"/>
    <w:rsid w:val="000722B2"/>
    <w:rsid w:val="000729C7"/>
    <w:rsid w:val="000852A1"/>
    <w:rsid w:val="0008580D"/>
    <w:rsid w:val="00091652"/>
    <w:rsid w:val="000959DD"/>
    <w:rsid w:val="000972E6"/>
    <w:rsid w:val="000A0D71"/>
    <w:rsid w:val="000B25BE"/>
    <w:rsid w:val="000B7267"/>
    <w:rsid w:val="000C11F3"/>
    <w:rsid w:val="000C2C4B"/>
    <w:rsid w:val="000C4C48"/>
    <w:rsid w:val="000C5B20"/>
    <w:rsid w:val="000C744B"/>
    <w:rsid w:val="000D3F52"/>
    <w:rsid w:val="000E01AB"/>
    <w:rsid w:val="000E4837"/>
    <w:rsid w:val="000E49F0"/>
    <w:rsid w:val="000E6126"/>
    <w:rsid w:val="000F7BE0"/>
    <w:rsid w:val="00100406"/>
    <w:rsid w:val="00101F67"/>
    <w:rsid w:val="00107A8A"/>
    <w:rsid w:val="00111788"/>
    <w:rsid w:val="001220BC"/>
    <w:rsid w:val="00132B9A"/>
    <w:rsid w:val="00134E27"/>
    <w:rsid w:val="001368AE"/>
    <w:rsid w:val="00144CCD"/>
    <w:rsid w:val="001451B0"/>
    <w:rsid w:val="0014739A"/>
    <w:rsid w:val="0015490C"/>
    <w:rsid w:val="00156D0A"/>
    <w:rsid w:val="001573E2"/>
    <w:rsid w:val="00162670"/>
    <w:rsid w:val="0016278D"/>
    <w:rsid w:val="00166930"/>
    <w:rsid w:val="0017054A"/>
    <w:rsid w:val="00172D87"/>
    <w:rsid w:val="0017774E"/>
    <w:rsid w:val="00180ADA"/>
    <w:rsid w:val="001937AD"/>
    <w:rsid w:val="00193F05"/>
    <w:rsid w:val="001A2CB2"/>
    <w:rsid w:val="001B5532"/>
    <w:rsid w:val="001B6AEC"/>
    <w:rsid w:val="001E3966"/>
    <w:rsid w:val="001E397B"/>
    <w:rsid w:val="001E6F4C"/>
    <w:rsid w:val="001F06E8"/>
    <w:rsid w:val="001F16AA"/>
    <w:rsid w:val="001F468C"/>
    <w:rsid w:val="00200446"/>
    <w:rsid w:val="00203355"/>
    <w:rsid w:val="00211005"/>
    <w:rsid w:val="00211D98"/>
    <w:rsid w:val="00217D41"/>
    <w:rsid w:val="00222CA6"/>
    <w:rsid w:val="00223E6A"/>
    <w:rsid w:val="00226452"/>
    <w:rsid w:val="00230AD8"/>
    <w:rsid w:val="00232642"/>
    <w:rsid w:val="00237697"/>
    <w:rsid w:val="0024458A"/>
    <w:rsid w:val="00250EDB"/>
    <w:rsid w:val="00252DA8"/>
    <w:rsid w:val="00256E10"/>
    <w:rsid w:val="00260413"/>
    <w:rsid w:val="00260EBC"/>
    <w:rsid w:val="00261204"/>
    <w:rsid w:val="00264710"/>
    <w:rsid w:val="00265CF8"/>
    <w:rsid w:val="00266205"/>
    <w:rsid w:val="00267567"/>
    <w:rsid w:val="002704AD"/>
    <w:rsid w:val="00270B0A"/>
    <w:rsid w:val="00281FBE"/>
    <w:rsid w:val="00284DA5"/>
    <w:rsid w:val="00290D2E"/>
    <w:rsid w:val="00292715"/>
    <w:rsid w:val="002A591C"/>
    <w:rsid w:val="002B10FD"/>
    <w:rsid w:val="002B4470"/>
    <w:rsid w:val="002B7796"/>
    <w:rsid w:val="002C10E1"/>
    <w:rsid w:val="002C15EB"/>
    <w:rsid w:val="002C1660"/>
    <w:rsid w:val="002C35A2"/>
    <w:rsid w:val="002C5345"/>
    <w:rsid w:val="002C76D7"/>
    <w:rsid w:val="002D2588"/>
    <w:rsid w:val="002D4960"/>
    <w:rsid w:val="002D4B14"/>
    <w:rsid w:val="002D56B7"/>
    <w:rsid w:val="002D662C"/>
    <w:rsid w:val="002E0BAD"/>
    <w:rsid w:val="002E430B"/>
    <w:rsid w:val="002F0E79"/>
    <w:rsid w:val="002F14A5"/>
    <w:rsid w:val="002F4A14"/>
    <w:rsid w:val="0030040D"/>
    <w:rsid w:val="003026F9"/>
    <w:rsid w:val="0030394C"/>
    <w:rsid w:val="003043BF"/>
    <w:rsid w:val="00310FFC"/>
    <w:rsid w:val="00315F43"/>
    <w:rsid w:val="00320073"/>
    <w:rsid w:val="003202FC"/>
    <w:rsid w:val="003262DF"/>
    <w:rsid w:val="00341D50"/>
    <w:rsid w:val="00356449"/>
    <w:rsid w:val="0035656F"/>
    <w:rsid w:val="00356FCD"/>
    <w:rsid w:val="00361BA8"/>
    <w:rsid w:val="0036288F"/>
    <w:rsid w:val="00365B10"/>
    <w:rsid w:val="003662F1"/>
    <w:rsid w:val="00367BA7"/>
    <w:rsid w:val="003761C0"/>
    <w:rsid w:val="003812B2"/>
    <w:rsid w:val="00383CDB"/>
    <w:rsid w:val="00384F08"/>
    <w:rsid w:val="0038504E"/>
    <w:rsid w:val="003879F9"/>
    <w:rsid w:val="00387A56"/>
    <w:rsid w:val="00397C4F"/>
    <w:rsid w:val="003A035E"/>
    <w:rsid w:val="003A4615"/>
    <w:rsid w:val="003A475F"/>
    <w:rsid w:val="003A54D4"/>
    <w:rsid w:val="003A57D9"/>
    <w:rsid w:val="003A6FB3"/>
    <w:rsid w:val="003B0211"/>
    <w:rsid w:val="003B0285"/>
    <w:rsid w:val="003C5D49"/>
    <w:rsid w:val="003C7326"/>
    <w:rsid w:val="003D3733"/>
    <w:rsid w:val="003E13CF"/>
    <w:rsid w:val="003E200B"/>
    <w:rsid w:val="003F008B"/>
    <w:rsid w:val="003F5344"/>
    <w:rsid w:val="003F7EDC"/>
    <w:rsid w:val="004037E0"/>
    <w:rsid w:val="00404548"/>
    <w:rsid w:val="0040677B"/>
    <w:rsid w:val="0041162E"/>
    <w:rsid w:val="00412F23"/>
    <w:rsid w:val="00426160"/>
    <w:rsid w:val="0042786D"/>
    <w:rsid w:val="00433C62"/>
    <w:rsid w:val="00434DD3"/>
    <w:rsid w:val="00450B26"/>
    <w:rsid w:val="0045166C"/>
    <w:rsid w:val="00452F8B"/>
    <w:rsid w:val="00455711"/>
    <w:rsid w:val="00455AB1"/>
    <w:rsid w:val="00464EB3"/>
    <w:rsid w:val="00467B4B"/>
    <w:rsid w:val="00472EF5"/>
    <w:rsid w:val="00475F25"/>
    <w:rsid w:val="00480309"/>
    <w:rsid w:val="00483649"/>
    <w:rsid w:val="00484B67"/>
    <w:rsid w:val="0048687C"/>
    <w:rsid w:val="004913FF"/>
    <w:rsid w:val="00494B65"/>
    <w:rsid w:val="004A31B4"/>
    <w:rsid w:val="004B6E17"/>
    <w:rsid w:val="004B7B18"/>
    <w:rsid w:val="004C1922"/>
    <w:rsid w:val="004C462F"/>
    <w:rsid w:val="004C73F1"/>
    <w:rsid w:val="004D49E9"/>
    <w:rsid w:val="004E0DB8"/>
    <w:rsid w:val="004E28FE"/>
    <w:rsid w:val="004E416B"/>
    <w:rsid w:val="004F0055"/>
    <w:rsid w:val="005071DA"/>
    <w:rsid w:val="00516E86"/>
    <w:rsid w:val="0051702F"/>
    <w:rsid w:val="005211A3"/>
    <w:rsid w:val="00523D82"/>
    <w:rsid w:val="00532DB3"/>
    <w:rsid w:val="00536C7A"/>
    <w:rsid w:val="00541A00"/>
    <w:rsid w:val="005444B2"/>
    <w:rsid w:val="005510B8"/>
    <w:rsid w:val="0055297D"/>
    <w:rsid w:val="00552C4B"/>
    <w:rsid w:val="00552F8B"/>
    <w:rsid w:val="00553005"/>
    <w:rsid w:val="00561FE7"/>
    <w:rsid w:val="0056277C"/>
    <w:rsid w:val="00564F16"/>
    <w:rsid w:val="00575348"/>
    <w:rsid w:val="005869C5"/>
    <w:rsid w:val="00597CED"/>
    <w:rsid w:val="005A3C81"/>
    <w:rsid w:val="005A5680"/>
    <w:rsid w:val="005A6639"/>
    <w:rsid w:val="005A6914"/>
    <w:rsid w:val="005B3C1C"/>
    <w:rsid w:val="005B3FFE"/>
    <w:rsid w:val="005B4CCD"/>
    <w:rsid w:val="005C1519"/>
    <w:rsid w:val="005C1C4E"/>
    <w:rsid w:val="005C4A16"/>
    <w:rsid w:val="005C4B12"/>
    <w:rsid w:val="005D135B"/>
    <w:rsid w:val="005D68C6"/>
    <w:rsid w:val="005D7EE3"/>
    <w:rsid w:val="005E36A8"/>
    <w:rsid w:val="005E50DE"/>
    <w:rsid w:val="005F7097"/>
    <w:rsid w:val="0060364A"/>
    <w:rsid w:val="00611FA2"/>
    <w:rsid w:val="00617843"/>
    <w:rsid w:val="00620F34"/>
    <w:rsid w:val="00624C1B"/>
    <w:rsid w:val="00625471"/>
    <w:rsid w:val="00627480"/>
    <w:rsid w:val="00627853"/>
    <w:rsid w:val="0063393F"/>
    <w:rsid w:val="00634D0C"/>
    <w:rsid w:val="00641E07"/>
    <w:rsid w:val="00652BCE"/>
    <w:rsid w:val="00652E29"/>
    <w:rsid w:val="00653617"/>
    <w:rsid w:val="00661715"/>
    <w:rsid w:val="00663E19"/>
    <w:rsid w:val="00665FC8"/>
    <w:rsid w:val="00666988"/>
    <w:rsid w:val="0067136B"/>
    <w:rsid w:val="006726A9"/>
    <w:rsid w:val="006758F9"/>
    <w:rsid w:val="00684131"/>
    <w:rsid w:val="00691208"/>
    <w:rsid w:val="00693014"/>
    <w:rsid w:val="006A23C4"/>
    <w:rsid w:val="006A702E"/>
    <w:rsid w:val="006B04E7"/>
    <w:rsid w:val="006B7A90"/>
    <w:rsid w:val="006C35CF"/>
    <w:rsid w:val="006C5F38"/>
    <w:rsid w:val="006C6558"/>
    <w:rsid w:val="006D474F"/>
    <w:rsid w:val="006D7D5A"/>
    <w:rsid w:val="006E4305"/>
    <w:rsid w:val="006F5763"/>
    <w:rsid w:val="00704BAB"/>
    <w:rsid w:val="00705579"/>
    <w:rsid w:val="007104D1"/>
    <w:rsid w:val="007135A6"/>
    <w:rsid w:val="007267C6"/>
    <w:rsid w:val="007274A0"/>
    <w:rsid w:val="00731AC4"/>
    <w:rsid w:val="00732F32"/>
    <w:rsid w:val="00733A73"/>
    <w:rsid w:val="00733AAA"/>
    <w:rsid w:val="0073476B"/>
    <w:rsid w:val="00736B6C"/>
    <w:rsid w:val="007415F8"/>
    <w:rsid w:val="007418DF"/>
    <w:rsid w:val="007441AE"/>
    <w:rsid w:val="00746FF2"/>
    <w:rsid w:val="00750BC1"/>
    <w:rsid w:val="007555D1"/>
    <w:rsid w:val="0076020E"/>
    <w:rsid w:val="00761133"/>
    <w:rsid w:val="007649D2"/>
    <w:rsid w:val="00764E84"/>
    <w:rsid w:val="007762F8"/>
    <w:rsid w:val="00783520"/>
    <w:rsid w:val="007A02D3"/>
    <w:rsid w:val="007A0BC8"/>
    <w:rsid w:val="007A18B1"/>
    <w:rsid w:val="007B121E"/>
    <w:rsid w:val="007B2F7E"/>
    <w:rsid w:val="007C055A"/>
    <w:rsid w:val="007C1693"/>
    <w:rsid w:val="007C5FC4"/>
    <w:rsid w:val="007D0E84"/>
    <w:rsid w:val="007D681B"/>
    <w:rsid w:val="007D7D65"/>
    <w:rsid w:val="007E1199"/>
    <w:rsid w:val="007E1D85"/>
    <w:rsid w:val="007E702A"/>
    <w:rsid w:val="008071F0"/>
    <w:rsid w:val="0081154A"/>
    <w:rsid w:val="008164B1"/>
    <w:rsid w:val="00820B36"/>
    <w:rsid w:val="00820DDC"/>
    <w:rsid w:val="00824318"/>
    <w:rsid w:val="00827BB2"/>
    <w:rsid w:val="008329DA"/>
    <w:rsid w:val="008330E7"/>
    <w:rsid w:val="008353A4"/>
    <w:rsid w:val="00844CE8"/>
    <w:rsid w:val="00847154"/>
    <w:rsid w:val="008477CC"/>
    <w:rsid w:val="008546D0"/>
    <w:rsid w:val="008632A3"/>
    <w:rsid w:val="0086657B"/>
    <w:rsid w:val="008832E5"/>
    <w:rsid w:val="00890DF2"/>
    <w:rsid w:val="008936D3"/>
    <w:rsid w:val="00897669"/>
    <w:rsid w:val="008A700C"/>
    <w:rsid w:val="008C0181"/>
    <w:rsid w:val="008C045F"/>
    <w:rsid w:val="008C0D28"/>
    <w:rsid w:val="008C5CB4"/>
    <w:rsid w:val="008D0584"/>
    <w:rsid w:val="008D4451"/>
    <w:rsid w:val="008D62B7"/>
    <w:rsid w:val="008E6895"/>
    <w:rsid w:val="008F0A7D"/>
    <w:rsid w:val="00900B3C"/>
    <w:rsid w:val="00904FB5"/>
    <w:rsid w:val="00907D35"/>
    <w:rsid w:val="0091136C"/>
    <w:rsid w:val="009157ED"/>
    <w:rsid w:val="00921D16"/>
    <w:rsid w:val="00923F4F"/>
    <w:rsid w:val="00930D7D"/>
    <w:rsid w:val="009318FF"/>
    <w:rsid w:val="0093309E"/>
    <w:rsid w:val="0094365B"/>
    <w:rsid w:val="009455A9"/>
    <w:rsid w:val="0095047E"/>
    <w:rsid w:val="0095190C"/>
    <w:rsid w:val="00952B83"/>
    <w:rsid w:val="00956101"/>
    <w:rsid w:val="00962CD6"/>
    <w:rsid w:val="009846D9"/>
    <w:rsid w:val="00993A60"/>
    <w:rsid w:val="00993EEC"/>
    <w:rsid w:val="0099796E"/>
    <w:rsid w:val="009A5CCB"/>
    <w:rsid w:val="009B014E"/>
    <w:rsid w:val="009B27B7"/>
    <w:rsid w:val="009C3AF1"/>
    <w:rsid w:val="009C41EE"/>
    <w:rsid w:val="009D1274"/>
    <w:rsid w:val="009D71D5"/>
    <w:rsid w:val="009D7E64"/>
    <w:rsid w:val="009E2887"/>
    <w:rsid w:val="009E5CB9"/>
    <w:rsid w:val="009E7C19"/>
    <w:rsid w:val="009F2BD3"/>
    <w:rsid w:val="009F31F2"/>
    <w:rsid w:val="009F45A5"/>
    <w:rsid w:val="00A01C2E"/>
    <w:rsid w:val="00A02BB2"/>
    <w:rsid w:val="00A04052"/>
    <w:rsid w:val="00A10BF8"/>
    <w:rsid w:val="00A12563"/>
    <w:rsid w:val="00A157D3"/>
    <w:rsid w:val="00A17A1D"/>
    <w:rsid w:val="00A21538"/>
    <w:rsid w:val="00A22B08"/>
    <w:rsid w:val="00A27415"/>
    <w:rsid w:val="00A309D8"/>
    <w:rsid w:val="00A30D5B"/>
    <w:rsid w:val="00A31E3F"/>
    <w:rsid w:val="00A331FF"/>
    <w:rsid w:val="00A47281"/>
    <w:rsid w:val="00A509B3"/>
    <w:rsid w:val="00A5702D"/>
    <w:rsid w:val="00A620D6"/>
    <w:rsid w:val="00A67B7F"/>
    <w:rsid w:val="00A70AFC"/>
    <w:rsid w:val="00A8185B"/>
    <w:rsid w:val="00A9365A"/>
    <w:rsid w:val="00AA5E2F"/>
    <w:rsid w:val="00AA61A6"/>
    <w:rsid w:val="00AA7317"/>
    <w:rsid w:val="00AB5246"/>
    <w:rsid w:val="00AB5C98"/>
    <w:rsid w:val="00AC2C0B"/>
    <w:rsid w:val="00AC4905"/>
    <w:rsid w:val="00AC761D"/>
    <w:rsid w:val="00AD6D3A"/>
    <w:rsid w:val="00AE32B1"/>
    <w:rsid w:val="00AE7922"/>
    <w:rsid w:val="00AF666B"/>
    <w:rsid w:val="00B01011"/>
    <w:rsid w:val="00B16B0E"/>
    <w:rsid w:val="00B16CE0"/>
    <w:rsid w:val="00B31D07"/>
    <w:rsid w:val="00B36B0E"/>
    <w:rsid w:val="00B37209"/>
    <w:rsid w:val="00B46F30"/>
    <w:rsid w:val="00B4760B"/>
    <w:rsid w:val="00B608C1"/>
    <w:rsid w:val="00B60D3D"/>
    <w:rsid w:val="00B61D95"/>
    <w:rsid w:val="00B666E2"/>
    <w:rsid w:val="00B7253F"/>
    <w:rsid w:val="00B834A0"/>
    <w:rsid w:val="00B8758A"/>
    <w:rsid w:val="00B9187F"/>
    <w:rsid w:val="00BB3050"/>
    <w:rsid w:val="00BB7831"/>
    <w:rsid w:val="00BC31BC"/>
    <w:rsid w:val="00BC6167"/>
    <w:rsid w:val="00BC6ED8"/>
    <w:rsid w:val="00BE4435"/>
    <w:rsid w:val="00BE4D45"/>
    <w:rsid w:val="00BE6B71"/>
    <w:rsid w:val="00BE7597"/>
    <w:rsid w:val="00BF2432"/>
    <w:rsid w:val="00C07BB3"/>
    <w:rsid w:val="00C2000E"/>
    <w:rsid w:val="00C232B5"/>
    <w:rsid w:val="00C26490"/>
    <w:rsid w:val="00C3520A"/>
    <w:rsid w:val="00C379C9"/>
    <w:rsid w:val="00C4154B"/>
    <w:rsid w:val="00C422B8"/>
    <w:rsid w:val="00C52E6C"/>
    <w:rsid w:val="00C566D6"/>
    <w:rsid w:val="00C63089"/>
    <w:rsid w:val="00C837D9"/>
    <w:rsid w:val="00C839ED"/>
    <w:rsid w:val="00C84299"/>
    <w:rsid w:val="00C92F14"/>
    <w:rsid w:val="00C92F99"/>
    <w:rsid w:val="00C9308C"/>
    <w:rsid w:val="00C94CED"/>
    <w:rsid w:val="00C97365"/>
    <w:rsid w:val="00CA3279"/>
    <w:rsid w:val="00CA645F"/>
    <w:rsid w:val="00CB744B"/>
    <w:rsid w:val="00CC08BA"/>
    <w:rsid w:val="00CC330A"/>
    <w:rsid w:val="00CC4767"/>
    <w:rsid w:val="00CC5727"/>
    <w:rsid w:val="00CC7DBD"/>
    <w:rsid w:val="00CD4B19"/>
    <w:rsid w:val="00CE1FD7"/>
    <w:rsid w:val="00CE582C"/>
    <w:rsid w:val="00CF0099"/>
    <w:rsid w:val="00CF3849"/>
    <w:rsid w:val="00D0233C"/>
    <w:rsid w:val="00D06308"/>
    <w:rsid w:val="00D066FC"/>
    <w:rsid w:val="00D11462"/>
    <w:rsid w:val="00D14D61"/>
    <w:rsid w:val="00D15535"/>
    <w:rsid w:val="00D21768"/>
    <w:rsid w:val="00D21A31"/>
    <w:rsid w:val="00D22A47"/>
    <w:rsid w:val="00D275FC"/>
    <w:rsid w:val="00D30508"/>
    <w:rsid w:val="00D34C8C"/>
    <w:rsid w:val="00D3576E"/>
    <w:rsid w:val="00D36B5B"/>
    <w:rsid w:val="00D43297"/>
    <w:rsid w:val="00D43D17"/>
    <w:rsid w:val="00D46B0B"/>
    <w:rsid w:val="00D55ED8"/>
    <w:rsid w:val="00D56F6C"/>
    <w:rsid w:val="00D57ED0"/>
    <w:rsid w:val="00D63E2A"/>
    <w:rsid w:val="00D66D7D"/>
    <w:rsid w:val="00D70DB6"/>
    <w:rsid w:val="00D76048"/>
    <w:rsid w:val="00D86C7C"/>
    <w:rsid w:val="00D91C33"/>
    <w:rsid w:val="00D93C80"/>
    <w:rsid w:val="00D96A8F"/>
    <w:rsid w:val="00D9733F"/>
    <w:rsid w:val="00DA7B78"/>
    <w:rsid w:val="00DB406A"/>
    <w:rsid w:val="00DE5AD8"/>
    <w:rsid w:val="00DF11A7"/>
    <w:rsid w:val="00DF1BFE"/>
    <w:rsid w:val="00DF3107"/>
    <w:rsid w:val="00DF414A"/>
    <w:rsid w:val="00DF7E14"/>
    <w:rsid w:val="00E22E08"/>
    <w:rsid w:val="00E262EC"/>
    <w:rsid w:val="00E271CB"/>
    <w:rsid w:val="00E33D82"/>
    <w:rsid w:val="00E34FE3"/>
    <w:rsid w:val="00E53BC5"/>
    <w:rsid w:val="00E55D6C"/>
    <w:rsid w:val="00E57396"/>
    <w:rsid w:val="00E57E71"/>
    <w:rsid w:val="00E73147"/>
    <w:rsid w:val="00E75590"/>
    <w:rsid w:val="00E81A1B"/>
    <w:rsid w:val="00E81A86"/>
    <w:rsid w:val="00E82ED1"/>
    <w:rsid w:val="00E8607B"/>
    <w:rsid w:val="00E91073"/>
    <w:rsid w:val="00E93583"/>
    <w:rsid w:val="00EA2F86"/>
    <w:rsid w:val="00EA6D39"/>
    <w:rsid w:val="00EB1D97"/>
    <w:rsid w:val="00EB59C7"/>
    <w:rsid w:val="00EC0874"/>
    <w:rsid w:val="00EC22A1"/>
    <w:rsid w:val="00ED1258"/>
    <w:rsid w:val="00ED4F3D"/>
    <w:rsid w:val="00ED556C"/>
    <w:rsid w:val="00EE6C74"/>
    <w:rsid w:val="00EF4278"/>
    <w:rsid w:val="00EF4C53"/>
    <w:rsid w:val="00EF7AE4"/>
    <w:rsid w:val="00EF7E0F"/>
    <w:rsid w:val="00F006F1"/>
    <w:rsid w:val="00F07B7B"/>
    <w:rsid w:val="00F22DD8"/>
    <w:rsid w:val="00F23B95"/>
    <w:rsid w:val="00F261A6"/>
    <w:rsid w:val="00F315D8"/>
    <w:rsid w:val="00F40388"/>
    <w:rsid w:val="00F423A5"/>
    <w:rsid w:val="00F547D3"/>
    <w:rsid w:val="00F63389"/>
    <w:rsid w:val="00F65CD1"/>
    <w:rsid w:val="00F751C1"/>
    <w:rsid w:val="00F76CF4"/>
    <w:rsid w:val="00F87C2D"/>
    <w:rsid w:val="00F91977"/>
    <w:rsid w:val="00F97B57"/>
    <w:rsid w:val="00FA00B8"/>
    <w:rsid w:val="00FA4F7C"/>
    <w:rsid w:val="00FB0456"/>
    <w:rsid w:val="00FB47F4"/>
    <w:rsid w:val="00FC7B0A"/>
    <w:rsid w:val="00FD2B12"/>
    <w:rsid w:val="00FD2B9F"/>
    <w:rsid w:val="00FD6FBD"/>
    <w:rsid w:val="00FE0B0F"/>
    <w:rsid w:val="00FE4C45"/>
    <w:rsid w:val="00FE519A"/>
    <w:rsid w:val="00FE566D"/>
    <w:rsid w:val="00FF3388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48B6DB-93A9-4740-9FD3-A1A2F7BD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ListParagraph1">
    <w:name w:val="List Paragraph1"/>
    <w:basedOn w:val="a"/>
    <w:rsid w:val="00D21A31"/>
    <w:pPr>
      <w:widowControl w:val="0"/>
      <w:autoSpaceDE w:val="0"/>
      <w:autoSpaceDN w:val="0"/>
      <w:spacing w:after="0" w:line="252" w:lineRule="exact"/>
      <w:ind w:left="461" w:hanging="360"/>
    </w:pPr>
    <w:rPr>
      <w:rFonts w:ascii="Times New Roman" w:hAnsi="Times New Roman"/>
      <w:lang w:val="en-US"/>
    </w:rPr>
  </w:style>
  <w:style w:type="paragraph" w:styleId="33">
    <w:name w:val="Body Text 3"/>
    <w:basedOn w:val="a"/>
    <w:link w:val="34"/>
    <w:uiPriority w:val="99"/>
    <w:semiHidden/>
    <w:unhideWhenUsed/>
    <w:rsid w:val="00DF414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sid w:val="00DF414A"/>
    <w:rPr>
      <w:sz w:val="16"/>
      <w:szCs w:val="16"/>
      <w:lang w:eastAsia="en-US"/>
    </w:rPr>
  </w:style>
  <w:style w:type="paragraph" w:customStyle="1" w:styleId="Style5">
    <w:name w:val="Style5"/>
    <w:basedOn w:val="a"/>
    <w:uiPriority w:val="99"/>
    <w:rsid w:val="00452F8B"/>
    <w:pPr>
      <w:widowControl w:val="0"/>
      <w:autoSpaceDE w:val="0"/>
      <w:autoSpaceDN w:val="0"/>
      <w:adjustRightInd w:val="0"/>
      <w:spacing w:after="0" w:line="11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lid-translation">
    <w:name w:val="tlid-translation"/>
    <w:rsid w:val="003A475F"/>
  </w:style>
  <w:style w:type="character" w:customStyle="1" w:styleId="longtext">
    <w:name w:val="long_text"/>
    <w:rsid w:val="003A4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da.k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v@vivapharm.k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v@vivapharm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v@vivapharm.k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DE32E-C7AB-401C-AC17-49E786E63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5475</Words>
  <Characters>31208</Characters>
  <Application>Microsoft Office Word</Application>
  <DocSecurity>0</DocSecurity>
  <Lines>260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36610</CharactersWithSpaces>
  <SharedDoc>false</SharedDoc>
  <HLinks>
    <vt:vector size="24" baseType="variant">
      <vt:variant>
        <vt:i4>1310763</vt:i4>
      </vt:variant>
      <vt:variant>
        <vt:i4>9</vt:i4>
      </vt:variant>
      <vt:variant>
        <vt:i4>0</vt:i4>
      </vt:variant>
      <vt:variant>
        <vt:i4>5</vt:i4>
      </vt:variant>
      <vt:variant>
        <vt:lpwstr>mailto:pv@vivapharm.kz</vt:lpwstr>
      </vt:variant>
      <vt:variant>
        <vt:lpwstr/>
      </vt:variant>
      <vt:variant>
        <vt:i4>1310763</vt:i4>
      </vt:variant>
      <vt:variant>
        <vt:i4>6</vt:i4>
      </vt:variant>
      <vt:variant>
        <vt:i4>0</vt:i4>
      </vt:variant>
      <vt:variant>
        <vt:i4>5</vt:i4>
      </vt:variant>
      <vt:variant>
        <vt:lpwstr>mailto:pv@vivapharm.kz</vt:lpwstr>
      </vt:variant>
      <vt:variant>
        <vt:lpwstr/>
      </vt:variant>
      <vt:variant>
        <vt:i4>1310763</vt:i4>
      </vt:variant>
      <vt:variant>
        <vt:i4>3</vt:i4>
      </vt:variant>
      <vt:variant>
        <vt:i4>0</vt:i4>
      </vt:variant>
      <vt:variant>
        <vt:i4>5</vt:i4>
      </vt:variant>
      <vt:variant>
        <vt:lpwstr>mailto:pv@vivapharm.kz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БисенбаеваГульсум</cp:lastModifiedBy>
  <cp:revision>4</cp:revision>
  <cp:lastPrinted>2018-03-22T06:08:00Z</cp:lastPrinted>
  <dcterms:created xsi:type="dcterms:W3CDTF">2023-04-24T09:02:00Z</dcterms:created>
  <dcterms:modified xsi:type="dcterms:W3CDTF">2023-08-07T11:02:00Z</dcterms:modified>
</cp:coreProperties>
</file>