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456BA0" w:rsidRPr="00365E0E" w:rsidTr="00C945C6">
        <w:tc>
          <w:tcPr>
            <w:tcW w:w="5211" w:type="dxa"/>
            <w:hideMark/>
          </w:tcPr>
          <w:p w:rsidR="00456BA0" w:rsidRPr="002301E0" w:rsidRDefault="00456BA0" w:rsidP="00FA47DB">
            <w:pPr>
              <w:widowControl w:val="0"/>
              <w:spacing w:after="0" w:line="240" w:lineRule="auto"/>
              <w:jc w:val="both"/>
              <w:rPr>
                <w:rFonts w:ascii="Times New Roman" w:eastAsia="Batang" w:hAnsi="Times New Roman"/>
                <w:snapToGrid w:val="0"/>
                <w:sz w:val="28"/>
                <w:szCs w:val="28"/>
                <w:lang w:val="kk-KZ" w:eastAsia="ru-RU"/>
              </w:rPr>
            </w:pPr>
          </w:p>
        </w:tc>
        <w:tc>
          <w:tcPr>
            <w:tcW w:w="4536" w:type="dxa"/>
            <w:hideMark/>
          </w:tcPr>
          <w:p w:rsidR="00456BA0" w:rsidRPr="002301E0" w:rsidRDefault="00456BA0" w:rsidP="00FA47DB">
            <w:pPr>
              <w:widowControl w:val="0"/>
              <w:spacing w:after="0" w:line="240" w:lineRule="auto"/>
              <w:rPr>
                <w:rFonts w:ascii="Times New Roman" w:eastAsia="Times New Roman" w:hAnsi="Times New Roman"/>
                <w:snapToGrid w:val="0"/>
                <w:sz w:val="28"/>
                <w:szCs w:val="28"/>
                <w:lang w:val="kk-KZ" w:eastAsia="ru-RU"/>
              </w:rPr>
            </w:pPr>
            <w:r w:rsidRPr="002301E0">
              <w:rPr>
                <w:rFonts w:ascii="Times New Roman" w:eastAsia="Times New Roman" w:hAnsi="Times New Roman"/>
                <w:snapToGrid w:val="0"/>
                <w:sz w:val="28"/>
                <w:szCs w:val="28"/>
                <w:lang w:val="kk-KZ" w:eastAsia="ru-RU"/>
              </w:rPr>
              <w:t>«Қазақстан Республикасы</w:t>
            </w:r>
          </w:p>
          <w:p w:rsidR="00456BA0" w:rsidRPr="002301E0" w:rsidRDefault="00456BA0" w:rsidP="00FA47DB">
            <w:pPr>
              <w:widowControl w:val="0"/>
              <w:spacing w:after="0" w:line="240" w:lineRule="auto"/>
              <w:rPr>
                <w:rFonts w:ascii="Times New Roman" w:eastAsia="Times New Roman" w:hAnsi="Times New Roman"/>
                <w:snapToGrid w:val="0"/>
                <w:sz w:val="28"/>
                <w:szCs w:val="28"/>
                <w:lang w:val="kk-KZ" w:eastAsia="ru-RU"/>
              </w:rPr>
            </w:pPr>
            <w:r w:rsidRPr="002301E0">
              <w:rPr>
                <w:rFonts w:ascii="Times New Roman" w:eastAsia="Times New Roman" w:hAnsi="Times New Roman"/>
                <w:snapToGrid w:val="0"/>
                <w:sz w:val="28"/>
                <w:szCs w:val="28"/>
                <w:lang w:val="kk-KZ" w:eastAsia="ru-RU"/>
              </w:rPr>
              <w:t>Денсаулық сақтау министрлігі</w:t>
            </w:r>
          </w:p>
          <w:p w:rsidR="00456BA0" w:rsidRPr="002301E0" w:rsidRDefault="00456BA0" w:rsidP="00FA47DB">
            <w:pPr>
              <w:widowControl w:val="0"/>
              <w:spacing w:after="0" w:line="240" w:lineRule="auto"/>
              <w:rPr>
                <w:rFonts w:ascii="Times New Roman" w:eastAsia="Times New Roman" w:hAnsi="Times New Roman"/>
                <w:snapToGrid w:val="0"/>
                <w:sz w:val="28"/>
                <w:szCs w:val="28"/>
                <w:lang w:val="kk-KZ" w:eastAsia="ru-RU"/>
              </w:rPr>
            </w:pPr>
            <w:r w:rsidRPr="002301E0">
              <w:rPr>
                <w:rFonts w:ascii="Times New Roman" w:eastAsia="Times New Roman" w:hAnsi="Times New Roman"/>
                <w:snapToGrid w:val="0"/>
                <w:sz w:val="28"/>
                <w:szCs w:val="28"/>
                <w:lang w:val="kk-KZ" w:eastAsia="ru-RU"/>
              </w:rPr>
              <w:t>Медициналық және фармацевтикалық бақылау</w:t>
            </w:r>
          </w:p>
          <w:p w:rsidR="00456BA0" w:rsidRPr="002301E0" w:rsidRDefault="00456BA0" w:rsidP="00FA47DB">
            <w:pPr>
              <w:widowControl w:val="0"/>
              <w:spacing w:after="0" w:line="240" w:lineRule="auto"/>
              <w:rPr>
                <w:rFonts w:ascii="Times New Roman" w:eastAsia="Times New Roman" w:hAnsi="Times New Roman"/>
                <w:snapToGrid w:val="0"/>
                <w:sz w:val="28"/>
                <w:szCs w:val="28"/>
                <w:lang w:val="kk-KZ" w:eastAsia="ru-RU"/>
              </w:rPr>
            </w:pPr>
            <w:r w:rsidRPr="002301E0">
              <w:rPr>
                <w:rFonts w:ascii="Times New Roman" w:eastAsia="Times New Roman" w:hAnsi="Times New Roman"/>
                <w:snapToGrid w:val="0"/>
                <w:sz w:val="28"/>
                <w:szCs w:val="28"/>
                <w:lang w:val="kk-KZ" w:eastAsia="ru-RU"/>
              </w:rPr>
              <w:t>комитеті» РММ төрағасының</w:t>
            </w:r>
          </w:p>
          <w:p w:rsidR="00456BA0" w:rsidRPr="002301E0" w:rsidRDefault="002903E7" w:rsidP="00FA47DB">
            <w:pPr>
              <w:widowControl w:val="0"/>
              <w:spacing w:after="0" w:line="240" w:lineRule="auto"/>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2023 ж. «</w:t>
            </w:r>
            <w:r w:rsidR="00365E0E">
              <w:rPr>
                <w:rFonts w:ascii="Times New Roman" w:eastAsia="Times New Roman" w:hAnsi="Times New Roman"/>
                <w:snapToGrid w:val="0"/>
                <w:sz w:val="28"/>
                <w:szCs w:val="28"/>
                <w:lang w:val="kk-KZ" w:eastAsia="ru-RU"/>
              </w:rPr>
              <w:t>08</w:t>
            </w:r>
            <w:r w:rsidR="00456BA0" w:rsidRPr="002301E0">
              <w:rPr>
                <w:rFonts w:ascii="Times New Roman" w:eastAsia="Times New Roman" w:hAnsi="Times New Roman"/>
                <w:snapToGrid w:val="0"/>
                <w:sz w:val="28"/>
                <w:szCs w:val="28"/>
                <w:lang w:val="kk-KZ" w:eastAsia="ru-RU"/>
              </w:rPr>
              <w:t>»</w:t>
            </w:r>
            <w:r w:rsidR="00933BC3">
              <w:rPr>
                <w:rFonts w:ascii="Times New Roman" w:eastAsia="Times New Roman" w:hAnsi="Times New Roman"/>
                <w:snapToGrid w:val="0"/>
                <w:sz w:val="28"/>
                <w:szCs w:val="28"/>
                <w:lang w:val="kk-KZ" w:eastAsia="ru-RU"/>
              </w:rPr>
              <w:t>__</w:t>
            </w:r>
            <w:r>
              <w:rPr>
                <w:rFonts w:ascii="Times New Roman" w:eastAsia="Times New Roman" w:hAnsi="Times New Roman"/>
                <w:snapToGrid w:val="0"/>
                <w:sz w:val="28"/>
                <w:szCs w:val="28"/>
                <w:lang w:val="kk-KZ" w:eastAsia="ru-RU"/>
              </w:rPr>
              <w:t>__</w:t>
            </w:r>
            <w:r w:rsidR="00365E0E">
              <w:rPr>
                <w:rFonts w:ascii="Times New Roman" w:eastAsia="Times New Roman" w:hAnsi="Times New Roman"/>
                <w:snapToGrid w:val="0"/>
                <w:sz w:val="28"/>
                <w:szCs w:val="28"/>
                <w:lang w:val="kk-KZ" w:eastAsia="ru-RU"/>
              </w:rPr>
              <w:t>08</w:t>
            </w:r>
            <w:r w:rsidR="00E17D34">
              <w:rPr>
                <w:rFonts w:ascii="Times New Roman" w:eastAsia="Times New Roman" w:hAnsi="Times New Roman"/>
                <w:snapToGrid w:val="0"/>
                <w:sz w:val="28"/>
                <w:szCs w:val="28"/>
                <w:lang w:val="kk-KZ" w:eastAsia="ru-RU"/>
              </w:rPr>
              <w:t>____</w:t>
            </w:r>
            <w:r w:rsidR="00933BC3">
              <w:rPr>
                <w:rFonts w:ascii="Times New Roman" w:eastAsia="Times New Roman" w:hAnsi="Times New Roman"/>
                <w:snapToGrid w:val="0"/>
                <w:sz w:val="28"/>
                <w:szCs w:val="28"/>
                <w:lang w:val="kk-KZ" w:eastAsia="ru-RU"/>
              </w:rPr>
              <w:t>_</w:t>
            </w:r>
          </w:p>
          <w:p w:rsidR="00456BA0" w:rsidRPr="002301E0" w:rsidRDefault="00933BC3" w:rsidP="00FA47DB">
            <w:pPr>
              <w:widowControl w:val="0"/>
              <w:spacing w:after="0" w:line="240" w:lineRule="auto"/>
              <w:rPr>
                <w:rFonts w:ascii="Times New Roman" w:eastAsia="Times New Roman" w:hAnsi="Times New Roman"/>
                <w:snapToGrid w:val="0"/>
                <w:sz w:val="28"/>
                <w:szCs w:val="28"/>
                <w:lang w:val="kk-KZ" w:eastAsia="ru-RU"/>
              </w:rPr>
            </w:pPr>
            <w:r w:rsidRPr="00933BC3">
              <w:rPr>
                <w:rFonts w:ascii="Times New Roman" w:eastAsia="Times New Roman" w:hAnsi="Times New Roman"/>
                <w:snapToGrid w:val="0"/>
                <w:sz w:val="28"/>
                <w:szCs w:val="28"/>
                <w:lang w:val="kk-KZ" w:eastAsia="ru-RU"/>
              </w:rPr>
              <w:t>№</w:t>
            </w:r>
            <w:r w:rsidR="002903E7">
              <w:rPr>
                <w:rFonts w:ascii="Times New Roman" w:eastAsia="Times New Roman" w:hAnsi="Times New Roman"/>
                <w:snapToGrid w:val="0"/>
                <w:sz w:val="28"/>
                <w:szCs w:val="28"/>
                <w:lang w:val="kk-KZ" w:eastAsia="ru-RU"/>
              </w:rPr>
              <w:t xml:space="preserve"> </w:t>
            </w:r>
            <w:r w:rsidR="00365E0E" w:rsidRPr="00365E0E">
              <w:rPr>
                <w:rFonts w:ascii="Times New Roman" w:eastAsia="Times New Roman" w:hAnsi="Times New Roman"/>
                <w:snapToGrid w:val="0"/>
                <w:sz w:val="28"/>
                <w:szCs w:val="28"/>
                <w:lang w:val="kk-KZ" w:eastAsia="ru-RU"/>
              </w:rPr>
              <w:t>N066033</w:t>
            </w:r>
            <w:r w:rsidR="002903E7">
              <w:rPr>
                <w:rFonts w:ascii="Times New Roman" w:eastAsia="Times New Roman" w:hAnsi="Times New Roman"/>
                <w:snapToGrid w:val="0"/>
                <w:sz w:val="28"/>
                <w:szCs w:val="28"/>
                <w:lang w:val="kk-KZ" w:eastAsia="ru-RU"/>
              </w:rPr>
              <w:t xml:space="preserve"> </w:t>
            </w:r>
            <w:r w:rsidR="00456BA0" w:rsidRPr="002301E0">
              <w:rPr>
                <w:rFonts w:ascii="Times New Roman" w:eastAsia="Times New Roman" w:hAnsi="Times New Roman"/>
                <w:snapToGrid w:val="0"/>
                <w:sz w:val="28"/>
                <w:szCs w:val="28"/>
                <w:lang w:val="kk-KZ" w:eastAsia="ru-RU"/>
              </w:rPr>
              <w:t>бұйрығымен</w:t>
            </w:r>
          </w:p>
          <w:p w:rsidR="00365E0E" w:rsidRPr="002301E0" w:rsidRDefault="00365E0E" w:rsidP="00365E0E">
            <w:pPr>
              <w:widowControl w:val="0"/>
              <w:spacing w:after="0" w:line="240" w:lineRule="auto"/>
              <w:rPr>
                <w:rFonts w:ascii="Times New Roman" w:eastAsia="Times New Roman" w:hAnsi="Times New Roman"/>
                <w:snapToGrid w:val="0"/>
                <w:sz w:val="28"/>
                <w:szCs w:val="28"/>
                <w:lang w:val="kk-KZ" w:eastAsia="ru-RU"/>
              </w:rPr>
            </w:pPr>
            <w:r>
              <w:rPr>
                <w:rFonts w:ascii="Times New Roman" w:eastAsia="Times New Roman" w:hAnsi="Times New Roman"/>
                <w:snapToGrid w:val="0"/>
                <w:sz w:val="28"/>
                <w:szCs w:val="28"/>
                <w:lang w:val="kk-KZ" w:eastAsia="ru-RU"/>
              </w:rPr>
              <w:t>2023 ж. «0</w:t>
            </w:r>
            <w:r>
              <w:rPr>
                <w:rFonts w:ascii="Times New Roman" w:eastAsia="Times New Roman" w:hAnsi="Times New Roman"/>
                <w:snapToGrid w:val="0"/>
                <w:sz w:val="28"/>
                <w:szCs w:val="28"/>
                <w:lang w:val="kk-KZ" w:eastAsia="ru-RU"/>
              </w:rPr>
              <w:t>8</w:t>
            </w:r>
            <w:r w:rsidRPr="002301E0">
              <w:rPr>
                <w:rFonts w:ascii="Times New Roman" w:eastAsia="Times New Roman" w:hAnsi="Times New Roman"/>
                <w:snapToGrid w:val="0"/>
                <w:sz w:val="28"/>
                <w:szCs w:val="28"/>
                <w:lang w:val="kk-KZ" w:eastAsia="ru-RU"/>
              </w:rPr>
              <w:t>»</w:t>
            </w:r>
            <w:r>
              <w:rPr>
                <w:rFonts w:ascii="Times New Roman" w:eastAsia="Times New Roman" w:hAnsi="Times New Roman"/>
                <w:snapToGrid w:val="0"/>
                <w:sz w:val="28"/>
                <w:szCs w:val="28"/>
                <w:lang w:val="kk-KZ" w:eastAsia="ru-RU"/>
              </w:rPr>
              <w:t>____08_____</w:t>
            </w:r>
          </w:p>
          <w:p w:rsidR="00365E0E" w:rsidRPr="002301E0" w:rsidRDefault="00365E0E" w:rsidP="00365E0E">
            <w:pPr>
              <w:widowControl w:val="0"/>
              <w:spacing w:after="0" w:line="240" w:lineRule="auto"/>
              <w:rPr>
                <w:rFonts w:ascii="Times New Roman" w:eastAsia="Times New Roman" w:hAnsi="Times New Roman"/>
                <w:snapToGrid w:val="0"/>
                <w:sz w:val="28"/>
                <w:szCs w:val="28"/>
                <w:lang w:val="kk-KZ" w:eastAsia="ru-RU"/>
              </w:rPr>
            </w:pPr>
            <w:r w:rsidRPr="00933BC3">
              <w:rPr>
                <w:rFonts w:ascii="Times New Roman" w:eastAsia="Times New Roman" w:hAnsi="Times New Roman"/>
                <w:snapToGrid w:val="0"/>
                <w:sz w:val="28"/>
                <w:szCs w:val="28"/>
                <w:lang w:val="kk-KZ" w:eastAsia="ru-RU"/>
              </w:rPr>
              <w:t>№</w:t>
            </w:r>
            <w:r>
              <w:rPr>
                <w:rFonts w:ascii="Times New Roman" w:eastAsia="Times New Roman" w:hAnsi="Times New Roman"/>
                <w:snapToGrid w:val="0"/>
                <w:sz w:val="28"/>
                <w:szCs w:val="28"/>
                <w:lang w:val="kk-KZ" w:eastAsia="ru-RU"/>
              </w:rPr>
              <w:t xml:space="preserve"> </w:t>
            </w:r>
            <w:r w:rsidRPr="00365E0E">
              <w:rPr>
                <w:rFonts w:ascii="Times New Roman" w:eastAsia="Times New Roman" w:hAnsi="Times New Roman"/>
                <w:snapToGrid w:val="0"/>
                <w:sz w:val="28"/>
                <w:szCs w:val="28"/>
                <w:lang w:val="kk-KZ" w:eastAsia="ru-RU"/>
              </w:rPr>
              <w:t>N06</w:t>
            </w:r>
            <w:r>
              <w:rPr>
                <w:rFonts w:ascii="Times New Roman" w:eastAsia="Times New Roman" w:hAnsi="Times New Roman"/>
                <w:snapToGrid w:val="0"/>
                <w:sz w:val="28"/>
                <w:szCs w:val="28"/>
                <w:lang w:val="kk-KZ" w:eastAsia="ru-RU"/>
              </w:rPr>
              <w:t>5983</w:t>
            </w:r>
            <w:r>
              <w:rPr>
                <w:rFonts w:ascii="Times New Roman" w:eastAsia="Times New Roman" w:hAnsi="Times New Roman"/>
                <w:snapToGrid w:val="0"/>
                <w:sz w:val="28"/>
                <w:szCs w:val="28"/>
                <w:lang w:val="kk-KZ" w:eastAsia="ru-RU"/>
              </w:rPr>
              <w:t xml:space="preserve"> </w:t>
            </w:r>
            <w:r w:rsidRPr="002301E0">
              <w:rPr>
                <w:rFonts w:ascii="Times New Roman" w:eastAsia="Times New Roman" w:hAnsi="Times New Roman"/>
                <w:snapToGrid w:val="0"/>
                <w:sz w:val="28"/>
                <w:szCs w:val="28"/>
                <w:lang w:val="kk-KZ" w:eastAsia="ru-RU"/>
              </w:rPr>
              <w:t>бұйрығымен</w:t>
            </w:r>
          </w:p>
          <w:p w:rsidR="00456BA0" w:rsidRPr="002301E0" w:rsidRDefault="00456BA0" w:rsidP="00FA47DB">
            <w:pPr>
              <w:widowControl w:val="0"/>
              <w:spacing w:after="0" w:line="240" w:lineRule="auto"/>
              <w:rPr>
                <w:rFonts w:ascii="Times New Roman" w:eastAsia="Batang" w:hAnsi="Times New Roman"/>
                <w:b/>
                <w:snapToGrid w:val="0"/>
                <w:sz w:val="28"/>
                <w:szCs w:val="28"/>
                <w:lang w:val="kk-KZ" w:eastAsia="ru-RU"/>
              </w:rPr>
            </w:pPr>
            <w:r w:rsidRPr="002301E0">
              <w:rPr>
                <w:rFonts w:ascii="Times New Roman" w:eastAsia="Times New Roman" w:hAnsi="Times New Roman"/>
                <w:b/>
                <w:snapToGrid w:val="0"/>
                <w:sz w:val="28"/>
                <w:szCs w:val="28"/>
                <w:lang w:val="kk-KZ" w:eastAsia="ru-RU"/>
              </w:rPr>
              <w:t>БЕКІТІЛГЕН</w:t>
            </w:r>
          </w:p>
        </w:tc>
        <w:tc>
          <w:tcPr>
            <w:tcW w:w="4536" w:type="dxa"/>
          </w:tcPr>
          <w:p w:rsidR="00456BA0" w:rsidRPr="002301E0" w:rsidRDefault="00456BA0" w:rsidP="00FA47DB">
            <w:pPr>
              <w:widowControl w:val="0"/>
              <w:spacing w:after="0" w:line="240" w:lineRule="auto"/>
              <w:jc w:val="both"/>
              <w:rPr>
                <w:rFonts w:ascii="Times New Roman" w:eastAsia="Times New Roman" w:hAnsi="Times New Roman"/>
                <w:b/>
                <w:snapToGrid w:val="0"/>
                <w:sz w:val="28"/>
                <w:szCs w:val="28"/>
                <w:lang w:val="kk-KZ" w:eastAsia="ru-RU"/>
              </w:rPr>
            </w:pPr>
            <w:r w:rsidRPr="002301E0">
              <w:rPr>
                <w:rFonts w:ascii="Times New Roman" w:eastAsia="Times New Roman" w:hAnsi="Times New Roman"/>
                <w:b/>
                <w:snapToGrid w:val="0"/>
                <w:sz w:val="28"/>
                <w:szCs w:val="28"/>
                <w:lang w:val="kk-KZ" w:eastAsia="ru-RU"/>
              </w:rPr>
              <w:t xml:space="preserve"> </w:t>
            </w:r>
          </w:p>
        </w:tc>
      </w:tr>
      <w:tr w:rsidR="00456BA0" w:rsidRPr="00365E0E" w:rsidTr="00365E0E">
        <w:trPr>
          <w:trHeight w:val="68"/>
        </w:trPr>
        <w:tc>
          <w:tcPr>
            <w:tcW w:w="5211" w:type="dxa"/>
          </w:tcPr>
          <w:p w:rsidR="00456BA0" w:rsidRPr="002301E0" w:rsidRDefault="00456BA0" w:rsidP="00FA47DB">
            <w:pPr>
              <w:widowControl w:val="0"/>
              <w:spacing w:after="0" w:line="240" w:lineRule="auto"/>
              <w:jc w:val="both"/>
              <w:rPr>
                <w:rFonts w:ascii="Times New Roman" w:eastAsia="Batang" w:hAnsi="Times New Roman"/>
                <w:sz w:val="28"/>
                <w:szCs w:val="28"/>
                <w:lang w:val="kk-KZ" w:eastAsia="ru-RU"/>
              </w:rPr>
            </w:pPr>
          </w:p>
        </w:tc>
        <w:tc>
          <w:tcPr>
            <w:tcW w:w="4536" w:type="dxa"/>
          </w:tcPr>
          <w:p w:rsidR="00456BA0" w:rsidRPr="002301E0" w:rsidRDefault="00456BA0" w:rsidP="00FA47DB">
            <w:pPr>
              <w:autoSpaceDE w:val="0"/>
              <w:autoSpaceDN w:val="0"/>
              <w:spacing w:after="0" w:line="240" w:lineRule="auto"/>
              <w:jc w:val="both"/>
              <w:rPr>
                <w:rFonts w:ascii="Times New Roman" w:eastAsia="Batang" w:hAnsi="Times New Roman"/>
                <w:sz w:val="28"/>
                <w:szCs w:val="28"/>
                <w:lang w:val="kk-KZ" w:eastAsia="ru-RU"/>
              </w:rPr>
            </w:pPr>
          </w:p>
        </w:tc>
        <w:tc>
          <w:tcPr>
            <w:tcW w:w="4536" w:type="dxa"/>
          </w:tcPr>
          <w:p w:rsidR="00456BA0" w:rsidRPr="002301E0" w:rsidRDefault="00456BA0" w:rsidP="00FA47DB">
            <w:pPr>
              <w:autoSpaceDE w:val="0"/>
              <w:autoSpaceDN w:val="0"/>
              <w:spacing w:after="0" w:line="240" w:lineRule="auto"/>
              <w:jc w:val="both"/>
              <w:rPr>
                <w:rFonts w:ascii="Times New Roman" w:eastAsia="Batang" w:hAnsi="Times New Roman"/>
                <w:sz w:val="28"/>
                <w:szCs w:val="28"/>
                <w:lang w:val="kk-KZ" w:eastAsia="ru-RU"/>
              </w:rPr>
            </w:pPr>
          </w:p>
        </w:tc>
      </w:tr>
    </w:tbl>
    <w:p w:rsidR="00456BA0" w:rsidRPr="002301E0" w:rsidRDefault="00456BA0" w:rsidP="00FA47DB">
      <w:pPr>
        <w:autoSpaceDE w:val="0"/>
        <w:autoSpaceDN w:val="0"/>
        <w:spacing w:after="0" w:line="240" w:lineRule="auto"/>
        <w:jc w:val="center"/>
        <w:rPr>
          <w:rFonts w:ascii="Times New Roman" w:eastAsia="Times New Roman" w:hAnsi="Times New Roman"/>
          <w:b/>
          <w:sz w:val="28"/>
          <w:szCs w:val="28"/>
          <w:lang w:val="kk-KZ" w:eastAsia="ru-RU"/>
        </w:rPr>
      </w:pPr>
      <w:r w:rsidRPr="002301E0">
        <w:rPr>
          <w:rFonts w:ascii="Times New Roman" w:eastAsia="Times New Roman" w:hAnsi="Times New Roman"/>
          <w:b/>
          <w:sz w:val="28"/>
          <w:szCs w:val="28"/>
          <w:lang w:val="kk-KZ" w:eastAsia="ru-RU"/>
        </w:rPr>
        <w:t>Дәрілік препаратты медициналық қолдану</w:t>
      </w:r>
    </w:p>
    <w:p w:rsidR="00456BA0" w:rsidRPr="002301E0" w:rsidRDefault="00456BA0" w:rsidP="00FA47DB">
      <w:pPr>
        <w:autoSpaceDE w:val="0"/>
        <w:autoSpaceDN w:val="0"/>
        <w:spacing w:after="0" w:line="240" w:lineRule="auto"/>
        <w:jc w:val="center"/>
        <w:rPr>
          <w:rFonts w:ascii="Times New Roman" w:eastAsia="Times New Roman" w:hAnsi="Times New Roman"/>
          <w:b/>
          <w:sz w:val="28"/>
          <w:szCs w:val="28"/>
          <w:lang w:val="kk-KZ" w:eastAsia="ru-RU"/>
        </w:rPr>
      </w:pPr>
      <w:r w:rsidRPr="002301E0">
        <w:rPr>
          <w:rFonts w:ascii="Times New Roman" w:eastAsia="Times New Roman" w:hAnsi="Times New Roman"/>
          <w:b/>
          <w:sz w:val="28"/>
          <w:szCs w:val="28"/>
          <w:lang w:val="kk-KZ" w:eastAsia="ru-RU"/>
        </w:rPr>
        <w:t>жөніндегі нұсқаулық (Қосымша парақ)</w:t>
      </w:r>
    </w:p>
    <w:p w:rsidR="00456BA0" w:rsidRPr="002301E0" w:rsidRDefault="00456BA0" w:rsidP="00FA47DB">
      <w:pPr>
        <w:autoSpaceDE w:val="0"/>
        <w:autoSpaceDN w:val="0"/>
        <w:spacing w:after="0" w:line="240" w:lineRule="auto"/>
        <w:jc w:val="both"/>
        <w:rPr>
          <w:rFonts w:ascii="Times New Roman" w:eastAsia="Times New Roman" w:hAnsi="Times New Roman"/>
          <w:b/>
          <w:sz w:val="28"/>
          <w:szCs w:val="28"/>
          <w:lang w:val="kk-KZ" w:eastAsia="ru-RU"/>
        </w:rPr>
      </w:pP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r w:rsidRPr="002301E0">
        <w:rPr>
          <w:rFonts w:ascii="Times New Roman" w:eastAsia="Times New Roman" w:hAnsi="Times New Roman"/>
          <w:b/>
          <w:sz w:val="28"/>
          <w:szCs w:val="28"/>
          <w:lang w:val="kk-KZ" w:eastAsia="ru-RU"/>
        </w:rPr>
        <w:t xml:space="preserve">Саудалық атауы  </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color w:val="000000"/>
          <w:sz w:val="28"/>
          <w:szCs w:val="28"/>
          <w:lang w:val="kk-KZ"/>
        </w:rPr>
        <w:t xml:space="preserve">Лорноксикам </w:t>
      </w:r>
      <w:r w:rsidRPr="002301E0">
        <w:rPr>
          <w:rFonts w:ascii="Times New Roman" w:eastAsia="Times New Roman" w:hAnsi="Times New Roman"/>
          <w:sz w:val="28"/>
          <w:szCs w:val="28"/>
          <w:lang w:val="kk-KZ"/>
        </w:rPr>
        <w:t>Вива Фарм</w:t>
      </w:r>
    </w:p>
    <w:p w:rsidR="00456BA0" w:rsidRPr="002301E0" w:rsidRDefault="00456BA0" w:rsidP="00FA47DB">
      <w:pPr>
        <w:autoSpaceDE w:val="0"/>
        <w:autoSpaceDN w:val="0"/>
        <w:spacing w:after="0" w:line="240" w:lineRule="auto"/>
        <w:jc w:val="both"/>
        <w:rPr>
          <w:rFonts w:ascii="Times New Roman" w:eastAsia="Times New Roman" w:hAnsi="Times New Roman"/>
          <w:b/>
          <w:sz w:val="28"/>
          <w:szCs w:val="28"/>
          <w:lang w:val="kk-KZ" w:eastAsia="ru-RU"/>
        </w:rPr>
      </w:pPr>
    </w:p>
    <w:p w:rsidR="00456BA0" w:rsidRPr="002301E0" w:rsidRDefault="00456BA0" w:rsidP="00FA47DB">
      <w:pPr>
        <w:autoSpaceDE w:val="0"/>
        <w:autoSpaceDN w:val="0"/>
        <w:spacing w:after="0" w:line="240" w:lineRule="auto"/>
        <w:jc w:val="both"/>
        <w:rPr>
          <w:rFonts w:ascii="Times New Roman" w:eastAsia="Times New Roman" w:hAnsi="Times New Roman"/>
          <w:b/>
          <w:sz w:val="28"/>
          <w:szCs w:val="28"/>
          <w:lang w:val="kk-KZ" w:eastAsia="ru-RU"/>
        </w:rPr>
      </w:pPr>
      <w:r w:rsidRPr="002301E0">
        <w:rPr>
          <w:rFonts w:ascii="Times New Roman" w:eastAsia="Times New Roman" w:hAnsi="Times New Roman"/>
          <w:b/>
          <w:sz w:val="28"/>
          <w:szCs w:val="28"/>
          <w:lang w:val="kk-KZ" w:eastAsia="ru-RU"/>
        </w:rPr>
        <w:t>Халықаралық патенттелмеген атауы</w:t>
      </w:r>
    </w:p>
    <w:p w:rsidR="00456BA0" w:rsidRPr="002301E0" w:rsidRDefault="00456BA0" w:rsidP="00FA47DB">
      <w:pPr>
        <w:autoSpaceDE w:val="0"/>
        <w:autoSpaceDN w:val="0"/>
        <w:spacing w:after="0" w:line="240" w:lineRule="auto"/>
        <w:jc w:val="both"/>
        <w:rPr>
          <w:rFonts w:ascii="Times New Roman" w:eastAsia="Times New Roman" w:hAnsi="Times New Roman"/>
          <w:color w:val="000000"/>
          <w:sz w:val="28"/>
          <w:szCs w:val="28"/>
          <w:lang w:val="kk-KZ"/>
        </w:rPr>
      </w:pPr>
      <w:r w:rsidRPr="002301E0">
        <w:rPr>
          <w:rFonts w:ascii="Times New Roman" w:eastAsia="Times New Roman" w:hAnsi="Times New Roman"/>
          <w:color w:val="000000"/>
          <w:sz w:val="28"/>
          <w:szCs w:val="28"/>
          <w:lang w:val="kk-KZ"/>
        </w:rPr>
        <w:t>Лорноксикам</w:t>
      </w:r>
    </w:p>
    <w:p w:rsidR="00456BA0" w:rsidRPr="002301E0" w:rsidRDefault="00456BA0" w:rsidP="00FA47DB">
      <w:pPr>
        <w:autoSpaceDE w:val="0"/>
        <w:autoSpaceDN w:val="0"/>
        <w:spacing w:after="0" w:line="240" w:lineRule="auto"/>
        <w:jc w:val="both"/>
        <w:rPr>
          <w:rFonts w:ascii="Times New Roman" w:eastAsia="Times New Roman" w:hAnsi="Times New Roman"/>
          <w:b/>
          <w:sz w:val="28"/>
          <w:szCs w:val="28"/>
          <w:lang w:val="kk-KZ" w:eastAsia="ru-RU"/>
        </w:rPr>
      </w:pP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r w:rsidRPr="002301E0">
        <w:rPr>
          <w:rFonts w:ascii="Times New Roman" w:eastAsia="Times New Roman" w:hAnsi="Times New Roman"/>
          <w:b/>
          <w:sz w:val="28"/>
          <w:szCs w:val="28"/>
          <w:lang w:val="kk-KZ" w:eastAsia="ru-RU"/>
        </w:rPr>
        <w:t>Дәрілік түрі, дозасы</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Қабықпен қапталған таблеткалар, 4 мг және 8 мг</w:t>
      </w:r>
    </w:p>
    <w:p w:rsidR="00456BA0" w:rsidRPr="002301E0" w:rsidRDefault="00456BA0" w:rsidP="00FA47DB">
      <w:pPr>
        <w:tabs>
          <w:tab w:val="left" w:pos="9540"/>
        </w:tabs>
        <w:spacing w:after="0" w:line="240" w:lineRule="auto"/>
        <w:jc w:val="both"/>
        <w:outlineLvl w:val="4"/>
        <w:rPr>
          <w:rFonts w:ascii="Times New Roman" w:eastAsia="Times New Roman" w:hAnsi="Times New Roman"/>
          <w:b/>
          <w:bCs/>
          <w:snapToGrid w:val="0"/>
          <w:sz w:val="28"/>
          <w:szCs w:val="28"/>
          <w:lang w:val="kk-KZ" w:eastAsia="ru-RU"/>
        </w:rPr>
      </w:pPr>
    </w:p>
    <w:p w:rsidR="00456BA0" w:rsidRPr="002301E0" w:rsidRDefault="00456BA0" w:rsidP="00FA47DB">
      <w:pPr>
        <w:tabs>
          <w:tab w:val="left" w:pos="9540"/>
        </w:tabs>
        <w:spacing w:after="0" w:line="240" w:lineRule="auto"/>
        <w:jc w:val="both"/>
        <w:outlineLvl w:val="4"/>
        <w:rPr>
          <w:rFonts w:ascii="Times New Roman" w:eastAsia="Times New Roman" w:hAnsi="Times New Roman"/>
          <w:b/>
          <w:bCs/>
          <w:snapToGrid w:val="0"/>
          <w:sz w:val="28"/>
          <w:szCs w:val="28"/>
          <w:lang w:val="kk-KZ" w:eastAsia="ru-RU"/>
        </w:rPr>
      </w:pPr>
      <w:r w:rsidRPr="002301E0">
        <w:rPr>
          <w:rFonts w:ascii="Times New Roman" w:eastAsia="Times New Roman" w:hAnsi="Times New Roman"/>
          <w:b/>
          <w:bCs/>
          <w:snapToGrid w:val="0"/>
          <w:sz w:val="28"/>
          <w:szCs w:val="28"/>
          <w:lang w:val="kk-KZ" w:eastAsia="ru-RU"/>
        </w:rPr>
        <w:t>Фармакотерапиялық тобы</w:t>
      </w:r>
    </w:p>
    <w:p w:rsidR="00456BA0" w:rsidRPr="002301E0" w:rsidRDefault="00456BA0" w:rsidP="00FA47DB">
      <w:pPr>
        <w:keepNext/>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2301E0">
        <w:rPr>
          <w:rFonts w:ascii="Times New Roman" w:eastAsia="Times New Roman" w:hAnsi="Times New Roman"/>
          <w:bCs/>
          <w:snapToGrid w:val="0"/>
          <w:sz w:val="28"/>
          <w:szCs w:val="28"/>
          <w:lang w:val="kk-KZ" w:eastAsia="ru-RU"/>
        </w:rPr>
        <w:t>Сүйек-бұлшықет жүйесі. Қабынуға қарсы және ревматизмге қарсы препараттар. Қабынуға қарсы және ревматизмге қарсы стероидты емес препараттар. Оксикамдар. Лорноксикам.</w:t>
      </w:r>
    </w:p>
    <w:p w:rsidR="00456BA0" w:rsidRPr="002301E0" w:rsidRDefault="00456BA0" w:rsidP="00FA47DB">
      <w:pPr>
        <w:keepNext/>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2301E0">
        <w:rPr>
          <w:rFonts w:ascii="Times New Roman" w:eastAsia="Times New Roman" w:hAnsi="Times New Roman"/>
          <w:bCs/>
          <w:snapToGrid w:val="0"/>
          <w:sz w:val="28"/>
          <w:szCs w:val="28"/>
          <w:lang w:val="kk-KZ" w:eastAsia="ru-RU"/>
        </w:rPr>
        <w:t>АТХ коды М01АС05</w:t>
      </w:r>
    </w:p>
    <w:p w:rsidR="00456BA0" w:rsidRPr="002301E0" w:rsidRDefault="00456BA0" w:rsidP="00FA47DB">
      <w:pPr>
        <w:keepNext/>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p>
    <w:p w:rsidR="00456BA0" w:rsidRPr="002301E0" w:rsidRDefault="00456BA0" w:rsidP="00FA47DB">
      <w:pPr>
        <w:keepNext/>
        <w:widowControl w:val="0"/>
        <w:autoSpaceDE w:val="0"/>
        <w:autoSpaceDN w:val="0"/>
        <w:spacing w:after="0" w:line="240" w:lineRule="auto"/>
        <w:jc w:val="both"/>
        <w:rPr>
          <w:rFonts w:ascii="Times New Roman" w:eastAsia="Times New Roman" w:hAnsi="Times New Roman"/>
          <w:b/>
          <w:bCs/>
          <w:sz w:val="28"/>
          <w:szCs w:val="28"/>
          <w:lang w:val="kk-KZ" w:eastAsia="ru-RU"/>
        </w:rPr>
      </w:pPr>
      <w:r w:rsidRPr="002301E0">
        <w:rPr>
          <w:rFonts w:ascii="Times New Roman" w:eastAsia="Times New Roman" w:hAnsi="Times New Roman"/>
          <w:b/>
          <w:bCs/>
          <w:sz w:val="28"/>
          <w:szCs w:val="28"/>
          <w:lang w:val="kk-KZ" w:eastAsia="ru-RU"/>
        </w:rPr>
        <w:t>Қолданылуы</w:t>
      </w:r>
    </w:p>
    <w:p w:rsidR="00E17D34" w:rsidRPr="00E17D34" w:rsidRDefault="00E17D34" w:rsidP="00E17D34">
      <w:pPr>
        <w:keepNext/>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E17D34">
        <w:rPr>
          <w:rFonts w:ascii="Times New Roman" w:eastAsia="Times New Roman" w:hAnsi="Times New Roman"/>
          <w:bCs/>
          <w:snapToGrid w:val="0"/>
          <w:sz w:val="28"/>
          <w:szCs w:val="28"/>
          <w:lang w:val="kk-KZ" w:eastAsia="ru-RU"/>
        </w:rPr>
        <w:t>- ересектерде жеңіл және орташа ауырлық дәрежедегі жедел ауырсыну синдромын қысқа мерзімді симптоматикалық емдеу</w:t>
      </w:r>
    </w:p>
    <w:p w:rsidR="00E17D34" w:rsidRPr="00E17D34" w:rsidRDefault="00E17D34" w:rsidP="00E17D34">
      <w:pPr>
        <w:keepNext/>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E17D34">
        <w:rPr>
          <w:rFonts w:ascii="Times New Roman" w:eastAsia="Times New Roman" w:hAnsi="Times New Roman"/>
          <w:bCs/>
          <w:snapToGrid w:val="0"/>
          <w:sz w:val="28"/>
          <w:szCs w:val="28"/>
          <w:lang w:val="kk-KZ" w:eastAsia="ru-RU"/>
        </w:rPr>
        <w:t>- ересектерде остеоартрит кезінде ауырсыну синдромы мен қабынуды симптоматикалық емдеу</w:t>
      </w:r>
    </w:p>
    <w:p w:rsidR="00E17D34" w:rsidRPr="00E17D34" w:rsidRDefault="00E17D34" w:rsidP="00E17D34">
      <w:pPr>
        <w:keepNext/>
        <w:widowControl w:val="0"/>
        <w:autoSpaceDE w:val="0"/>
        <w:autoSpaceDN w:val="0"/>
        <w:spacing w:after="0" w:line="240" w:lineRule="auto"/>
        <w:jc w:val="both"/>
        <w:rPr>
          <w:rFonts w:ascii="Times New Roman" w:eastAsia="Times New Roman" w:hAnsi="Times New Roman"/>
          <w:bCs/>
          <w:snapToGrid w:val="0"/>
          <w:sz w:val="28"/>
          <w:szCs w:val="28"/>
          <w:lang w:val="kk-KZ" w:eastAsia="ru-RU"/>
        </w:rPr>
      </w:pPr>
      <w:r w:rsidRPr="00E17D34">
        <w:rPr>
          <w:rFonts w:ascii="Times New Roman" w:eastAsia="Times New Roman" w:hAnsi="Times New Roman"/>
          <w:bCs/>
          <w:snapToGrid w:val="0"/>
          <w:sz w:val="28"/>
          <w:szCs w:val="28"/>
          <w:lang w:val="kk-KZ" w:eastAsia="ru-RU"/>
        </w:rPr>
        <w:t>- ересектерде ревматоидты артрит кезінде ауырсыну синдромы мен қабынуды симптоматикалық емдеу</w:t>
      </w: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r w:rsidRPr="002301E0">
        <w:rPr>
          <w:rFonts w:ascii="Times New Roman" w:eastAsia="Times New Roman" w:hAnsi="Times New Roman"/>
          <w:b/>
          <w:sz w:val="28"/>
          <w:szCs w:val="28"/>
          <w:lang w:val="kk-KZ" w:eastAsia="ru-RU"/>
        </w:rPr>
        <w:t>Қолданудың басталуына дейін қажетті мәліметтер тізбесі</w:t>
      </w:r>
    </w:p>
    <w:p w:rsidR="00456BA0" w:rsidRPr="002301E0" w:rsidRDefault="00456BA0" w:rsidP="00FA47DB">
      <w:pPr>
        <w:spacing w:after="0" w:line="240" w:lineRule="auto"/>
        <w:jc w:val="both"/>
        <w:rPr>
          <w:rFonts w:ascii="Times New Roman" w:eastAsia="Times New Roman" w:hAnsi="Times New Roman"/>
          <w:i/>
          <w:sz w:val="28"/>
          <w:szCs w:val="28"/>
          <w:lang w:val="kk-KZ" w:eastAsia="ru-RU"/>
        </w:rPr>
      </w:pPr>
      <w:r w:rsidRPr="002301E0">
        <w:rPr>
          <w:rFonts w:ascii="Times New Roman" w:eastAsia="Times New Roman" w:hAnsi="Times New Roman"/>
          <w:b/>
          <w:i/>
          <w:sz w:val="28"/>
          <w:szCs w:val="28"/>
          <w:lang w:val="kk-KZ" w:eastAsia="ru-RU"/>
        </w:rPr>
        <w:t>Қолдануға болмайтын жағдайлар</w:t>
      </w:r>
    </w:p>
    <w:p w:rsidR="00456BA0" w:rsidRPr="002301E0" w:rsidRDefault="00456BA0" w:rsidP="00FA47DB">
      <w:pPr>
        <w:numPr>
          <w:ilvl w:val="0"/>
          <w:numId w:val="4"/>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әсер етуші затқа немесе қосымша заттардың кез келгеніне аса жоғары сезімталдық</w:t>
      </w:r>
    </w:p>
    <w:p w:rsidR="00456BA0" w:rsidRPr="002301E0" w:rsidRDefault="00456BA0" w:rsidP="00FA47DB">
      <w:pPr>
        <w:numPr>
          <w:ilvl w:val="0"/>
          <w:numId w:val="4"/>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тромбоцитопения</w:t>
      </w:r>
    </w:p>
    <w:p w:rsidR="00456BA0" w:rsidRPr="002301E0" w:rsidRDefault="00456BA0" w:rsidP="00FA47DB">
      <w:pPr>
        <w:numPr>
          <w:ilvl w:val="0"/>
          <w:numId w:val="4"/>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басқа қабынуға қарс</w:t>
      </w:r>
      <w:r w:rsidR="00A13600">
        <w:rPr>
          <w:rFonts w:ascii="Times New Roman" w:eastAsia="Times New Roman" w:hAnsi="Times New Roman"/>
          <w:sz w:val="28"/>
          <w:szCs w:val="28"/>
          <w:lang w:val="kk-KZ"/>
        </w:rPr>
        <w:t xml:space="preserve">ы стероидты емес </w:t>
      </w:r>
      <w:r w:rsidR="00B230B6">
        <w:rPr>
          <w:rFonts w:ascii="Times New Roman" w:eastAsia="Times New Roman" w:hAnsi="Times New Roman"/>
          <w:sz w:val="28"/>
          <w:szCs w:val="28"/>
          <w:lang w:val="kk-KZ"/>
        </w:rPr>
        <w:t>препараттарға</w:t>
      </w:r>
      <w:r w:rsidR="00A13600">
        <w:rPr>
          <w:rFonts w:ascii="Times New Roman" w:eastAsia="Times New Roman" w:hAnsi="Times New Roman"/>
          <w:sz w:val="28"/>
          <w:szCs w:val="28"/>
          <w:lang w:val="kk-KZ"/>
        </w:rPr>
        <w:t xml:space="preserve"> (</w:t>
      </w:r>
      <w:r w:rsidR="002F4335">
        <w:rPr>
          <w:rFonts w:ascii="Times New Roman" w:eastAsia="Times New Roman" w:hAnsi="Times New Roman"/>
          <w:sz w:val="28"/>
          <w:szCs w:val="28"/>
          <w:lang w:val="kk-KZ"/>
        </w:rPr>
        <w:t>ҚҚСП</w:t>
      </w:r>
      <w:r w:rsidRPr="002301E0">
        <w:rPr>
          <w:rFonts w:ascii="Times New Roman" w:eastAsia="Times New Roman" w:hAnsi="Times New Roman"/>
          <w:sz w:val="28"/>
          <w:szCs w:val="28"/>
          <w:lang w:val="kk-KZ"/>
        </w:rPr>
        <w:t>), оның ішінде ацетилсалицил қышқылына (демікпе, ринит, ангионевроздық ісіну немесе есекжем сияқты симптомдар) аса жоғары сезімталдық</w:t>
      </w:r>
    </w:p>
    <w:p w:rsidR="00456BA0" w:rsidRPr="002301E0" w:rsidRDefault="00E17D34" w:rsidP="00E17D34">
      <w:pPr>
        <w:numPr>
          <w:ilvl w:val="0"/>
          <w:numId w:val="4"/>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lastRenderedPageBreak/>
        <w:t xml:space="preserve">ауыр </w:t>
      </w:r>
      <w:r>
        <w:rPr>
          <w:rFonts w:ascii="Times New Roman" w:eastAsia="Times New Roman" w:hAnsi="Times New Roman"/>
          <w:sz w:val="28"/>
          <w:szCs w:val="28"/>
          <w:lang w:val="kk-KZ"/>
        </w:rPr>
        <w:t>жүрек</w:t>
      </w:r>
      <w:r w:rsidR="00456BA0" w:rsidRPr="002301E0">
        <w:rPr>
          <w:rFonts w:ascii="Times New Roman" w:eastAsia="Times New Roman" w:hAnsi="Times New Roman"/>
          <w:sz w:val="28"/>
          <w:szCs w:val="28"/>
          <w:lang w:val="kk-KZ"/>
        </w:rPr>
        <w:t xml:space="preserve"> жеткіліксіздігі</w:t>
      </w:r>
    </w:p>
    <w:p w:rsidR="00E17D34" w:rsidRPr="00E17D34" w:rsidRDefault="00E17D34" w:rsidP="00E17D34">
      <w:pPr>
        <w:numPr>
          <w:ilvl w:val="0"/>
          <w:numId w:val="4"/>
        </w:numPr>
        <w:spacing w:after="0" w:line="240" w:lineRule="auto"/>
        <w:ind w:left="284" w:hanging="284"/>
        <w:jc w:val="both"/>
        <w:rPr>
          <w:rFonts w:ascii="Times New Roman" w:eastAsia="Times New Roman" w:hAnsi="Times New Roman"/>
          <w:sz w:val="28"/>
          <w:szCs w:val="28"/>
          <w:lang w:val="kk-KZ"/>
        </w:rPr>
      </w:pPr>
      <w:r w:rsidRPr="00E17D34">
        <w:rPr>
          <w:rFonts w:ascii="Times New Roman" w:eastAsia="Times New Roman" w:hAnsi="Times New Roman"/>
          <w:sz w:val="28"/>
          <w:szCs w:val="28"/>
          <w:lang w:val="kk-KZ"/>
        </w:rPr>
        <w:t>асқазан-ішектен қан кету, цереброваскулярлық қан кету немесе басқа да  қан кетулер</w:t>
      </w:r>
    </w:p>
    <w:p w:rsidR="00E17D34" w:rsidRPr="00E17D34" w:rsidRDefault="002F4335" w:rsidP="00E17D34">
      <w:pPr>
        <w:numPr>
          <w:ilvl w:val="0"/>
          <w:numId w:val="4"/>
        </w:numPr>
        <w:spacing w:after="0" w:line="240" w:lineRule="auto"/>
        <w:ind w:left="284" w:hanging="284"/>
        <w:jc w:val="both"/>
        <w:rPr>
          <w:rFonts w:ascii="Times New Roman" w:eastAsia="Times New Roman" w:hAnsi="Times New Roman"/>
          <w:sz w:val="28"/>
          <w:szCs w:val="28"/>
          <w:lang w:val="kk-KZ"/>
        </w:rPr>
      </w:pPr>
      <w:r>
        <w:rPr>
          <w:rFonts w:ascii="Times New Roman" w:eastAsia="Times New Roman" w:hAnsi="Times New Roman"/>
          <w:sz w:val="28"/>
          <w:szCs w:val="28"/>
          <w:lang w:val="kk-KZ"/>
        </w:rPr>
        <w:t>ҚҚСП</w:t>
      </w:r>
      <w:r w:rsidR="00E17D34" w:rsidRPr="00E17D34">
        <w:rPr>
          <w:rFonts w:ascii="Times New Roman" w:eastAsia="Times New Roman" w:hAnsi="Times New Roman"/>
          <w:sz w:val="28"/>
          <w:szCs w:val="28"/>
          <w:lang w:val="kk-KZ"/>
        </w:rPr>
        <w:t xml:space="preserve"> алдыңғы емдеуге байланысты анамнезінде асқазан-ішектен қан кетудің немесе тесілудің болуы </w:t>
      </w:r>
    </w:p>
    <w:p w:rsidR="00E17D34" w:rsidRPr="00E17D34" w:rsidRDefault="00E17D34" w:rsidP="00E17D34">
      <w:pPr>
        <w:numPr>
          <w:ilvl w:val="0"/>
          <w:numId w:val="4"/>
        </w:numPr>
        <w:spacing w:after="0" w:line="240" w:lineRule="auto"/>
        <w:ind w:left="284" w:hanging="284"/>
        <w:jc w:val="both"/>
        <w:rPr>
          <w:rFonts w:ascii="Times New Roman" w:eastAsia="Times New Roman" w:hAnsi="Times New Roman"/>
          <w:sz w:val="28"/>
          <w:szCs w:val="28"/>
          <w:lang w:val="kk-KZ"/>
        </w:rPr>
      </w:pPr>
      <w:r w:rsidRPr="00E17D34">
        <w:rPr>
          <w:rFonts w:ascii="Times New Roman" w:eastAsia="Times New Roman" w:hAnsi="Times New Roman"/>
          <w:sz w:val="28"/>
          <w:szCs w:val="28"/>
          <w:lang w:val="kk-KZ"/>
        </w:rPr>
        <w:t xml:space="preserve">жедел пептикалық жара/ қан кету немесе </w:t>
      </w:r>
      <w:r>
        <w:rPr>
          <w:rFonts w:ascii="Times New Roman" w:eastAsia="Times New Roman" w:hAnsi="Times New Roman"/>
          <w:sz w:val="28"/>
          <w:szCs w:val="28"/>
          <w:lang w:val="kk-KZ"/>
        </w:rPr>
        <w:t>қайталанатын пептикалық жара/</w:t>
      </w:r>
      <w:r w:rsidRPr="00E17D34">
        <w:rPr>
          <w:rFonts w:ascii="Times New Roman" w:eastAsia="Times New Roman" w:hAnsi="Times New Roman"/>
          <w:sz w:val="28"/>
          <w:szCs w:val="28"/>
          <w:lang w:val="kk-KZ"/>
        </w:rPr>
        <w:t>анемнездегі қан кету (расталған ойық жараның немесе қан кетудің 2 немесе одан да көп айқын эпизодтары)</w:t>
      </w:r>
    </w:p>
    <w:p w:rsidR="00E17D34" w:rsidRPr="00E17D34" w:rsidRDefault="00E17D34" w:rsidP="00E17D34">
      <w:pPr>
        <w:numPr>
          <w:ilvl w:val="0"/>
          <w:numId w:val="4"/>
        </w:numPr>
        <w:spacing w:after="0" w:line="240" w:lineRule="auto"/>
        <w:ind w:left="284" w:hanging="284"/>
        <w:jc w:val="both"/>
        <w:rPr>
          <w:rFonts w:ascii="Times New Roman" w:eastAsia="Times New Roman" w:hAnsi="Times New Roman"/>
          <w:sz w:val="28"/>
          <w:szCs w:val="28"/>
          <w:lang w:val="kk-KZ"/>
        </w:rPr>
      </w:pPr>
      <w:r w:rsidRPr="00E17D34">
        <w:rPr>
          <w:rFonts w:ascii="Times New Roman" w:eastAsia="Times New Roman" w:hAnsi="Times New Roman"/>
          <w:sz w:val="28"/>
          <w:szCs w:val="28"/>
          <w:lang w:val="kk-KZ"/>
        </w:rPr>
        <w:t xml:space="preserve">ауыр бүйрек жеткіліксіздігі </w:t>
      </w:r>
    </w:p>
    <w:p w:rsidR="00E17D34" w:rsidRPr="00E17D34" w:rsidRDefault="00E17D34" w:rsidP="00E17D34">
      <w:pPr>
        <w:numPr>
          <w:ilvl w:val="0"/>
          <w:numId w:val="4"/>
        </w:numPr>
        <w:spacing w:after="0" w:line="240" w:lineRule="auto"/>
        <w:ind w:left="284" w:hanging="284"/>
        <w:jc w:val="both"/>
        <w:rPr>
          <w:rFonts w:ascii="Times New Roman" w:eastAsia="Times New Roman" w:hAnsi="Times New Roman"/>
          <w:sz w:val="28"/>
          <w:szCs w:val="28"/>
          <w:lang w:val="kk-KZ"/>
        </w:rPr>
      </w:pPr>
      <w:r w:rsidRPr="00E17D34">
        <w:rPr>
          <w:rFonts w:ascii="Times New Roman" w:eastAsia="Times New Roman" w:hAnsi="Times New Roman"/>
          <w:sz w:val="28"/>
          <w:szCs w:val="28"/>
          <w:lang w:val="kk-KZ"/>
        </w:rPr>
        <w:t>ауыр бауыр жеткіліксіздігі (сарысулық креатинин деңгейі &gt;700 мкмоль/л)</w:t>
      </w:r>
    </w:p>
    <w:p w:rsidR="00E17D34" w:rsidRPr="00E17D34" w:rsidRDefault="00E17D34" w:rsidP="00E17D34">
      <w:pPr>
        <w:numPr>
          <w:ilvl w:val="0"/>
          <w:numId w:val="4"/>
        </w:numPr>
        <w:spacing w:after="0" w:line="240" w:lineRule="auto"/>
        <w:ind w:left="284" w:hanging="284"/>
        <w:jc w:val="both"/>
        <w:rPr>
          <w:rFonts w:ascii="Times New Roman" w:eastAsia="Times New Roman" w:hAnsi="Times New Roman"/>
          <w:sz w:val="28"/>
          <w:szCs w:val="28"/>
          <w:lang w:val="kk-KZ"/>
        </w:rPr>
      </w:pPr>
      <w:r w:rsidRPr="00E17D34">
        <w:rPr>
          <w:rFonts w:ascii="Times New Roman" w:eastAsia="Times New Roman" w:hAnsi="Times New Roman"/>
          <w:sz w:val="28"/>
          <w:szCs w:val="28"/>
          <w:lang w:val="kk-KZ"/>
        </w:rPr>
        <w:t>жүктіліктің үшінші триместрі</w:t>
      </w:r>
    </w:p>
    <w:p w:rsidR="00E17D34" w:rsidRPr="00E17D34" w:rsidRDefault="00E17D34" w:rsidP="00E17D34">
      <w:pPr>
        <w:numPr>
          <w:ilvl w:val="0"/>
          <w:numId w:val="4"/>
        </w:numPr>
        <w:spacing w:after="0" w:line="240" w:lineRule="auto"/>
        <w:ind w:left="284" w:hanging="284"/>
        <w:jc w:val="both"/>
        <w:rPr>
          <w:rFonts w:ascii="Times New Roman" w:eastAsia="Times New Roman" w:hAnsi="Times New Roman"/>
          <w:sz w:val="28"/>
          <w:szCs w:val="28"/>
          <w:lang w:val="kk-KZ"/>
        </w:rPr>
      </w:pPr>
      <w:r w:rsidRPr="00E17D34">
        <w:rPr>
          <w:rFonts w:ascii="Times New Roman" w:eastAsia="Times New Roman" w:hAnsi="Times New Roman"/>
          <w:sz w:val="28"/>
          <w:szCs w:val="28"/>
          <w:lang w:val="kk-KZ"/>
        </w:rPr>
        <w:t>тұқым қуалайтын галактоза жақпаушылығы, Lapp-лактаза ферментінің тапшылығы және глюкоза-галактоза мальабсорбциясы</w:t>
      </w:r>
    </w:p>
    <w:p w:rsidR="00456BA0" w:rsidRPr="002301E0" w:rsidRDefault="00456BA0" w:rsidP="00FA47DB">
      <w:pPr>
        <w:spacing w:after="0" w:line="240" w:lineRule="auto"/>
        <w:jc w:val="both"/>
        <w:rPr>
          <w:rFonts w:ascii="Times New Roman" w:eastAsia="Times New Roman" w:hAnsi="Times New Roman"/>
          <w:b/>
          <w:i/>
          <w:sz w:val="28"/>
          <w:szCs w:val="28"/>
          <w:lang w:val="kk-KZ" w:eastAsia="ru-RU"/>
        </w:rPr>
      </w:pPr>
      <w:r w:rsidRPr="002301E0">
        <w:rPr>
          <w:rFonts w:ascii="Times New Roman" w:eastAsia="Times New Roman" w:hAnsi="Times New Roman"/>
          <w:b/>
          <w:i/>
          <w:sz w:val="28"/>
          <w:szCs w:val="28"/>
          <w:lang w:val="kk-KZ" w:eastAsia="ru-RU"/>
        </w:rPr>
        <w:t>Қолдану кезінде қажетті сақтық шаралары</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Лорноксикам тромбоциттер агрегациясын төмендетеді және қан кету уақытын ұзартады. Демек, қан кетуге бейімділігі жоғары пациенттерге тағайындағанда сақ болу керек.</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Келесі бұзылулар кезінде лорноксикамды пайда мен қауіп арақатынасын мұқият бағалағаннан кейін ғана тағайындау керек:</w:t>
      </w:r>
    </w:p>
    <w:p w:rsidR="009927B7" w:rsidRPr="009927B7" w:rsidRDefault="009927B7" w:rsidP="009927B7">
      <w:pPr>
        <w:numPr>
          <w:ilvl w:val="0"/>
          <w:numId w:val="7"/>
        </w:numPr>
        <w:spacing w:after="0" w:line="240" w:lineRule="auto"/>
        <w:ind w:left="0" w:firstLine="360"/>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бүйрек жеткіліксіздігі: лорноксикам препаратын бүйрек простагландиндерінің деңгейіне қарай бүйрек қан ағымын демеу тәуелділігіне байланысты жеңіл (сарысулық креатинин 150-300 мкмоль/л) және орташа (сарысулық креатинин 300-700 мкмоль/л) бүйрек жеткіліксіздігі бар пациенттерде сақтықпен қабылдау </w:t>
      </w:r>
      <w:r>
        <w:rPr>
          <w:rFonts w:ascii="Times New Roman" w:hAnsi="Times New Roman"/>
          <w:sz w:val="28"/>
          <w:szCs w:val="28"/>
          <w:lang w:val="kk-KZ" w:eastAsia="ru-RU"/>
        </w:rPr>
        <w:t>керек</w:t>
      </w:r>
      <w:r w:rsidRPr="009927B7">
        <w:rPr>
          <w:rFonts w:ascii="Times New Roman" w:hAnsi="Times New Roman"/>
          <w:sz w:val="28"/>
          <w:szCs w:val="28"/>
          <w:lang w:val="kk-KZ" w:eastAsia="ru-RU"/>
        </w:rPr>
        <w:t>. Егер емдеу кезінде бүйрек функциясы нашарласа, лорноксикаммен емдеуді тоқтату керек.</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Келесі пациенттерде бүйрек функциясын бақылау қажет:</w:t>
      </w:r>
    </w:p>
    <w:p w:rsidR="009927B7" w:rsidRPr="009927B7" w:rsidRDefault="009927B7" w:rsidP="009927B7">
      <w:pPr>
        <w:numPr>
          <w:ilvl w:val="0"/>
          <w:numId w:val="10"/>
        </w:numPr>
        <w:spacing w:after="0" w:line="240" w:lineRule="auto"/>
        <w:ind w:left="284" w:hanging="284"/>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ауқымды хирургиялық араласуды бастан өткерген </w:t>
      </w:r>
    </w:p>
    <w:p w:rsidR="009927B7" w:rsidRPr="009927B7" w:rsidRDefault="009927B7" w:rsidP="009927B7">
      <w:pPr>
        <w:numPr>
          <w:ilvl w:val="0"/>
          <w:numId w:val="10"/>
        </w:numPr>
        <w:spacing w:after="0" w:line="240" w:lineRule="auto"/>
        <w:ind w:left="284" w:hanging="284"/>
        <w:jc w:val="both"/>
        <w:rPr>
          <w:rFonts w:ascii="Times New Roman" w:hAnsi="Times New Roman"/>
          <w:sz w:val="28"/>
          <w:szCs w:val="28"/>
          <w:lang w:val="kk-KZ" w:eastAsia="ru-RU"/>
        </w:rPr>
      </w:pPr>
      <w:r w:rsidRPr="009927B7">
        <w:rPr>
          <w:rFonts w:ascii="Times New Roman" w:hAnsi="Times New Roman"/>
          <w:sz w:val="28"/>
          <w:szCs w:val="28"/>
          <w:lang w:val="kk-KZ" w:eastAsia="ru-RU"/>
        </w:rPr>
        <w:t>жүрек жеткіліксіздігі бар</w:t>
      </w:r>
    </w:p>
    <w:p w:rsidR="009927B7" w:rsidRPr="009927B7" w:rsidRDefault="009927B7" w:rsidP="009927B7">
      <w:pPr>
        <w:numPr>
          <w:ilvl w:val="0"/>
          <w:numId w:val="10"/>
        </w:numPr>
        <w:spacing w:after="0" w:line="240" w:lineRule="auto"/>
        <w:ind w:left="284" w:hanging="284"/>
        <w:jc w:val="both"/>
        <w:rPr>
          <w:rFonts w:ascii="Times New Roman" w:hAnsi="Times New Roman"/>
          <w:sz w:val="28"/>
          <w:szCs w:val="28"/>
          <w:lang w:val="kk-KZ" w:eastAsia="ru-RU"/>
        </w:rPr>
      </w:pPr>
      <w:r w:rsidRPr="009927B7">
        <w:rPr>
          <w:rFonts w:ascii="Times New Roman" w:hAnsi="Times New Roman"/>
          <w:sz w:val="28"/>
          <w:szCs w:val="28"/>
          <w:lang w:val="kk-KZ" w:eastAsia="ru-RU"/>
        </w:rPr>
        <w:t>белгілі немесе болжамды нефроуытты әсері бар диуретиктермен немесе дәрілік препараттармен қатар ем алу кезеңінде (4.5 бөлімді қараңыз)</w:t>
      </w:r>
    </w:p>
    <w:p w:rsidR="009927B7" w:rsidRPr="009927B7" w:rsidRDefault="009927B7" w:rsidP="009927B7">
      <w:pPr>
        <w:numPr>
          <w:ilvl w:val="0"/>
          <w:numId w:val="7"/>
        </w:numPr>
        <w:spacing w:after="0" w:line="240" w:lineRule="auto"/>
        <w:ind w:left="0" w:firstLine="0"/>
        <w:jc w:val="both"/>
        <w:rPr>
          <w:rFonts w:ascii="Times New Roman" w:eastAsia="Times New Roman" w:hAnsi="Times New Roman"/>
          <w:sz w:val="28"/>
          <w:szCs w:val="28"/>
          <w:lang w:val="kk-KZ" w:eastAsia="ru-RU"/>
        </w:rPr>
      </w:pPr>
      <w:r w:rsidRPr="009927B7">
        <w:rPr>
          <w:rFonts w:ascii="Times New Roman" w:eastAsia="Times New Roman" w:hAnsi="Times New Roman"/>
          <w:sz w:val="28"/>
          <w:szCs w:val="28"/>
          <w:lang w:val="kk-KZ" w:eastAsia="ru-RU"/>
        </w:rPr>
        <w:t>қан ұюы бұзылған пациенттер: мұқият клиникалық мониторингті жүргізіп, зертханалық бағалауды орындау ұсынылады (мысалы, белсенді ішінара тромбопластиндік уақыт (БІТУ))</w:t>
      </w:r>
    </w:p>
    <w:p w:rsidR="009927B7" w:rsidRPr="009927B7" w:rsidRDefault="009927B7" w:rsidP="009927B7">
      <w:pPr>
        <w:pStyle w:val="a9"/>
        <w:widowControl w:val="0"/>
        <w:numPr>
          <w:ilvl w:val="0"/>
          <w:numId w:val="9"/>
        </w:numPr>
        <w:tabs>
          <w:tab w:val="clear" w:pos="720"/>
          <w:tab w:val="left" w:pos="284"/>
        </w:tabs>
        <w:spacing w:after="0"/>
        <w:ind w:left="0" w:firstLine="0"/>
        <w:jc w:val="both"/>
        <w:rPr>
          <w:b/>
          <w:color w:val="000000"/>
          <w:kern w:val="2"/>
          <w:sz w:val="28"/>
          <w:szCs w:val="28"/>
          <w:lang w:val="kk-KZ"/>
        </w:rPr>
      </w:pPr>
      <w:r w:rsidRPr="009927B7">
        <w:rPr>
          <w:sz w:val="28"/>
          <w:szCs w:val="28"/>
          <w:lang w:val="kk-KZ"/>
        </w:rPr>
        <w:t xml:space="preserve">бауыр функциясы бұзылған пациенттер (мысалы, бауыр циррозы кезінде): бауыр функциясы бұзылған пациенттерде күнделікті 12 - 16 мг дозаларды қолданғаннан кейін лорноксикамның жиналуы (AUC </w:t>
      </w:r>
      <w:r>
        <w:rPr>
          <w:sz w:val="28"/>
          <w:szCs w:val="28"/>
          <w:lang w:val="kk-KZ"/>
        </w:rPr>
        <w:t>жоғарылауы) пайда болуы мүмкін</w:t>
      </w:r>
      <w:r w:rsidRPr="009927B7">
        <w:rPr>
          <w:sz w:val="28"/>
          <w:szCs w:val="28"/>
          <w:lang w:val="kk-KZ"/>
        </w:rPr>
        <w:t xml:space="preserve"> болғандықтан, мұқият клиникалық бақылау мен зертханалық бақылау туралы мәселені қарастыру қажет. Басқа жағдайларда бауырдың бұзылған функциясы сау адамдармен салыстырғанда лорноксикамның фармакокинетикасына әсер етуі екіталай</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lastRenderedPageBreak/>
        <w:t xml:space="preserve">– ұзақ емделетін пациенттерге (3 айдан астам):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 xml:space="preserve"> қабылдаған кезде бүйрек және бауыр функциясын, сондай-ақ гематологиялық көрсеткіштерді үнемі бағалау ұсынылады</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65 жастан асқан егде жастағы пациенттерге: бүйрек пен бауыр функциясын бақылау ұсынылады. Операциядан кейін егде жастағы пациенттерге сақтықпен қолдану ұсынылады.</w:t>
      </w:r>
    </w:p>
    <w:p w:rsidR="009927B7" w:rsidRPr="009927B7" w:rsidRDefault="009927B7" w:rsidP="009927B7">
      <w:pPr>
        <w:spacing w:after="0" w:line="240" w:lineRule="auto"/>
        <w:jc w:val="both"/>
        <w:rPr>
          <w:rFonts w:ascii="Times New Roman" w:hAnsi="Times New Roman"/>
          <w:i/>
          <w:sz w:val="28"/>
          <w:szCs w:val="28"/>
          <w:lang w:val="kk-KZ" w:eastAsia="ru-RU"/>
        </w:rPr>
      </w:pPr>
      <w:r w:rsidRPr="009927B7">
        <w:rPr>
          <w:rFonts w:ascii="Times New Roman" w:hAnsi="Times New Roman"/>
          <w:i/>
          <w:sz w:val="28"/>
          <w:szCs w:val="28"/>
          <w:lang w:val="kk-KZ" w:eastAsia="ru-RU"/>
        </w:rPr>
        <w:t xml:space="preserve">Басқа </w:t>
      </w:r>
      <w:r w:rsidR="002F4335">
        <w:rPr>
          <w:rFonts w:ascii="Times New Roman" w:hAnsi="Times New Roman"/>
          <w:i/>
          <w:sz w:val="28"/>
          <w:szCs w:val="28"/>
          <w:lang w:val="kk-KZ" w:eastAsia="ru-RU"/>
        </w:rPr>
        <w:t>ҚҚСП</w:t>
      </w:r>
      <w:r w:rsidRPr="009927B7">
        <w:rPr>
          <w:rFonts w:ascii="Times New Roman" w:hAnsi="Times New Roman"/>
          <w:i/>
          <w:sz w:val="28"/>
          <w:szCs w:val="28"/>
          <w:lang w:val="kk-KZ" w:eastAsia="ru-RU"/>
        </w:rPr>
        <w:t>-мен бірге қолдану</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Лорноксикам мен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 оның ішінде циклооксигеназа-2 селективті тежегіштерін бір</w:t>
      </w:r>
      <w:r>
        <w:rPr>
          <w:rFonts w:ascii="Times New Roman" w:hAnsi="Times New Roman"/>
          <w:sz w:val="28"/>
          <w:szCs w:val="28"/>
          <w:lang w:val="kk-KZ" w:eastAsia="ru-RU"/>
        </w:rPr>
        <w:t>ге қолданудан аулақ болу керек</w:t>
      </w:r>
      <w:r w:rsidRPr="009927B7">
        <w:rPr>
          <w:rFonts w:ascii="Times New Roman" w:hAnsi="Times New Roman"/>
          <w:sz w:val="28"/>
          <w:szCs w:val="28"/>
          <w:lang w:val="kk-KZ" w:eastAsia="ru-RU"/>
        </w:rPr>
        <w:t>.</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Жағымсыз әсерлердің пайда болу қаупін симптомдарды бақылау үшін қажет болатын ең аз қысқа курс ішінде ең төменгі тиімді дозаларды қолдану арқылы азайтуға болады (сондай-ақ төменде көрсетілген асқазан-ішек және жүрек-қан тамырлары қаупін ескере отырып).</w:t>
      </w:r>
    </w:p>
    <w:p w:rsidR="009927B7" w:rsidRPr="009927B7" w:rsidRDefault="009927B7" w:rsidP="009927B7">
      <w:pPr>
        <w:spacing w:after="0" w:line="240" w:lineRule="auto"/>
        <w:jc w:val="both"/>
        <w:rPr>
          <w:rFonts w:ascii="Times New Roman" w:hAnsi="Times New Roman"/>
          <w:i/>
          <w:sz w:val="28"/>
          <w:szCs w:val="28"/>
          <w:lang w:val="kk-KZ" w:eastAsia="ru-RU"/>
        </w:rPr>
      </w:pPr>
      <w:r w:rsidRPr="009927B7">
        <w:rPr>
          <w:rFonts w:ascii="Times New Roman" w:hAnsi="Times New Roman"/>
          <w:i/>
          <w:sz w:val="28"/>
          <w:szCs w:val="28"/>
          <w:lang w:val="kk-KZ" w:eastAsia="ru-RU"/>
        </w:rPr>
        <w:t>Асқазан-ішек жаралары, қан кету және тесілу</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Асқазан-ішектен қан кету, ойық жаралар және тесілулер: барлық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 xml:space="preserve"> қолданған кезде асқазан-ішектен қан кету, ойық жаралар немесе өлімге әкелуі мүмкін тесілулер тіркелді. Олар терапияның кез келген уақытында ескерту симптомдарымен немесе асқазан-ішек жолдарының ауыр асқынуларымен немесе онсыз пайда болды.</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Асқазан-ішектен қан кету, ойық жара немесе тесілу қаупі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 xml:space="preserve"> дозасының жоғарылауымен, әсіресе ол қан кету немесе тесілумен асқынған болса ойық жарасы бар пациенттерде және егде жастағы пациенттерде жоғары. Бұл пациенттерде емдеуді мүмкін болатын ең</w:t>
      </w:r>
      <w:r>
        <w:rPr>
          <w:rFonts w:ascii="Times New Roman" w:hAnsi="Times New Roman"/>
          <w:sz w:val="28"/>
          <w:szCs w:val="28"/>
          <w:lang w:val="kk-KZ" w:eastAsia="ru-RU"/>
        </w:rPr>
        <w:t xml:space="preserve"> төменгі дозадан бастау керек</w:t>
      </w:r>
      <w:r w:rsidRPr="009927B7">
        <w:rPr>
          <w:rFonts w:ascii="Times New Roman" w:hAnsi="Times New Roman"/>
          <w:sz w:val="28"/>
          <w:szCs w:val="28"/>
          <w:lang w:val="kk-KZ" w:eastAsia="ru-RU"/>
        </w:rPr>
        <w:t>. Осы пациенттер үшін, сондай-ақ төмен дозаларда ацетилсалицил қышқылын немесе асқазан-ішек жолы тарапынан бұзылулардың туындау қаупін арттыруға қабілетті басқа да дәрілік заттарды бір мезгілде қабылдауды қажет ететін пациенттер үшін гастропротекторлармен (мысалы, мизопростол немесе протонды помпа тежегіштері) біріктірілген ем тағайындау мүмкіндігін қарастыру керек. Дәрігердің тұрақты бақылауы ұсынылады.</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Анамнезінде асқазан-ішек уыттылығы бар пациенттер, әсіресе, егде жастағы адамдар, әсіресе емдеудің бастапқы кезеңдерінде кез келген әдеттегіден тыс абдоминальді симптомдар (ең алдымен АІЖ қан кету белгілері туралы) туралы хабарлауға тиісті екендігі туралы хабарлы болуға тиіс.</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Бір мезгілде пероральді кортикостероидтар, варфарин секілді антикоагулянттар, серотонинді кері қармаудың селективті тежегіштері немесе ацетилсалицил қышқылы секілді антитромбоцитарлық препараттар секілді жаралар немесе қан кету қаупін арттыруға қабілетті дәрілік заттарды қабылдап жүрген пациенттерге сақ болу </w:t>
      </w:r>
      <w:r>
        <w:rPr>
          <w:rFonts w:ascii="Times New Roman" w:hAnsi="Times New Roman"/>
          <w:sz w:val="28"/>
          <w:szCs w:val="28"/>
          <w:lang w:val="kk-KZ" w:eastAsia="ru-RU"/>
        </w:rPr>
        <w:t xml:space="preserve"> керек</w:t>
      </w:r>
      <w:r w:rsidRPr="009927B7">
        <w:rPr>
          <w:rFonts w:ascii="Times New Roman" w:hAnsi="Times New Roman"/>
          <w:sz w:val="28"/>
          <w:szCs w:val="28"/>
          <w:lang w:val="kk-KZ" w:eastAsia="ru-RU"/>
        </w:rPr>
        <w:t>.</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Лорноксикам қабылдаған пациенттерде асқазан-ішектен қан кету немесе ойық жара пайда болса, емдеуді тоқтату керек.</w:t>
      </w:r>
    </w:p>
    <w:p w:rsidR="009927B7" w:rsidRDefault="002F4335" w:rsidP="009927B7">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ҚҚСП</w:t>
      </w:r>
      <w:r w:rsidR="009927B7" w:rsidRPr="009927B7">
        <w:rPr>
          <w:rFonts w:ascii="Times New Roman" w:hAnsi="Times New Roman"/>
          <w:sz w:val="28"/>
          <w:szCs w:val="28"/>
          <w:lang w:val="kk-KZ" w:eastAsia="ru-RU"/>
        </w:rPr>
        <w:t>-ты  келесі аурулардың өршу ықтималдығына байланысты анамнезінде АІЖ аурулары (мысалы, ойық жаралы колит, Крон ауруы) бар пациенттерде сақтықпен қолдану керек.</w:t>
      </w:r>
      <w:r w:rsidR="009927B7">
        <w:rPr>
          <w:rFonts w:ascii="Times New Roman" w:hAnsi="Times New Roman"/>
          <w:sz w:val="28"/>
          <w:szCs w:val="28"/>
          <w:lang w:val="kk-KZ" w:eastAsia="ru-RU"/>
        </w:rPr>
        <w:t xml:space="preserve"> </w:t>
      </w:r>
    </w:p>
    <w:p w:rsidR="009927B7" w:rsidRPr="009927B7" w:rsidRDefault="009927B7" w:rsidP="009927B7">
      <w:pPr>
        <w:spacing w:after="0" w:line="240" w:lineRule="auto"/>
        <w:jc w:val="both"/>
        <w:rPr>
          <w:rFonts w:ascii="Times New Roman" w:hAnsi="Times New Roman"/>
          <w:i/>
          <w:sz w:val="28"/>
          <w:szCs w:val="28"/>
          <w:lang w:val="kk-KZ" w:eastAsia="ru-RU"/>
        </w:rPr>
      </w:pPr>
      <w:r w:rsidRPr="009927B7">
        <w:rPr>
          <w:rFonts w:ascii="Times New Roman" w:hAnsi="Times New Roman"/>
          <w:i/>
          <w:sz w:val="28"/>
          <w:szCs w:val="28"/>
          <w:lang w:val="kk-KZ" w:eastAsia="ru-RU"/>
        </w:rPr>
        <w:lastRenderedPageBreak/>
        <w:t>Егде жастағы пациенттер</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Егде жастағы пациенттерде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-қа жағымсыз реакциялардың, әсіресе өмірге қауіпті болуы мүмкін асқазан-ішектен қан кету және т</w:t>
      </w:r>
      <w:r>
        <w:rPr>
          <w:rFonts w:ascii="Times New Roman" w:hAnsi="Times New Roman"/>
          <w:sz w:val="28"/>
          <w:szCs w:val="28"/>
          <w:lang w:val="kk-KZ" w:eastAsia="ru-RU"/>
        </w:rPr>
        <w:t>есілу жоғары жиілігі байқалады</w:t>
      </w:r>
      <w:r w:rsidRPr="009927B7">
        <w:rPr>
          <w:rFonts w:ascii="Times New Roman" w:hAnsi="Times New Roman"/>
          <w:sz w:val="28"/>
          <w:szCs w:val="28"/>
          <w:lang w:val="kk-KZ" w:eastAsia="ru-RU"/>
        </w:rPr>
        <w:t>.</w:t>
      </w:r>
    </w:p>
    <w:p w:rsidR="009927B7" w:rsidRPr="009927B7" w:rsidRDefault="009927B7" w:rsidP="009927B7">
      <w:pPr>
        <w:spacing w:after="0" w:line="240" w:lineRule="auto"/>
        <w:jc w:val="both"/>
        <w:rPr>
          <w:rFonts w:ascii="Times New Roman" w:hAnsi="Times New Roman"/>
          <w:i/>
          <w:sz w:val="28"/>
          <w:szCs w:val="28"/>
          <w:lang w:val="kk-KZ" w:eastAsia="ru-RU"/>
        </w:rPr>
      </w:pPr>
      <w:r w:rsidRPr="009927B7">
        <w:rPr>
          <w:rFonts w:ascii="Times New Roman" w:hAnsi="Times New Roman"/>
          <w:i/>
          <w:sz w:val="28"/>
          <w:szCs w:val="28"/>
          <w:lang w:val="kk-KZ" w:eastAsia="ru-RU"/>
        </w:rPr>
        <w:t>Жүрек-қантамыр және цереброваскулярлық әсерлер</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Артериялық гипертензиясы және/немесе анемнезінде жеңілден орташа ауырлық дәрежесіне дейін іркілісті жүрек жеткіліксіздігі бар немесе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 xml:space="preserve"> емдеу аясында сұйықтықтың кідіруі және ісіну осы ауруы өршіген пациенттерге тиісті бақылауды жүргізу және нұсқама беру қажет. </w:t>
      </w:r>
    </w:p>
    <w:p w:rsidR="009927B7" w:rsidRPr="009927B7" w:rsidRDefault="009927B7" w:rsidP="009927B7">
      <w:pPr>
        <w:spacing w:after="0" w:line="240" w:lineRule="auto"/>
        <w:jc w:val="both"/>
        <w:rPr>
          <w:rFonts w:ascii="Times New Roman" w:eastAsia="Times New Roman" w:hAnsi="Times New Roman"/>
          <w:sz w:val="28"/>
          <w:szCs w:val="28"/>
          <w:lang w:val="kk-KZ" w:eastAsia="ru-RU"/>
        </w:rPr>
      </w:pPr>
      <w:r w:rsidRPr="009927B7">
        <w:rPr>
          <w:rFonts w:ascii="Times New Roman" w:hAnsi="Times New Roman"/>
          <w:sz w:val="28"/>
          <w:szCs w:val="28"/>
          <w:lang w:val="kk-KZ" w:eastAsia="ru-RU"/>
        </w:rPr>
        <w:t xml:space="preserve">Клиникалық зерттеулер мен эпидемиологиялық деректер кейбір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 xml:space="preserve">-ды, атап айтқанда, жоғары дозада және ұзақ мерзімді емдеу аясында қолдану артериялық тромбоздық асқынулар (мысалы, миокард инфарктісі және инсульт) қаупінің жоғарылауымен байланысты болуы мүмкін екенін көрсетеді.  </w:t>
      </w:r>
      <w:r w:rsidRPr="009927B7">
        <w:rPr>
          <w:rFonts w:ascii="Times New Roman" w:eastAsia="Times New Roman" w:hAnsi="Times New Roman"/>
          <w:sz w:val="28"/>
          <w:szCs w:val="28"/>
          <w:lang w:val="kk-KZ" w:eastAsia="ru-RU"/>
        </w:rPr>
        <w:t>Лорноксикам үшін мұндай қауіпті болдырмауға арн</w:t>
      </w:r>
      <w:r>
        <w:rPr>
          <w:rFonts w:ascii="Times New Roman" w:eastAsia="Times New Roman" w:hAnsi="Times New Roman"/>
          <w:sz w:val="28"/>
          <w:szCs w:val="28"/>
          <w:lang w:val="kk-KZ" w:eastAsia="ru-RU"/>
        </w:rPr>
        <w:t>алған бар деректер жеткіліксіз.</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Бақыланбайтын артериялық гипертензиясы, созылмалы жүрек жеткіліксіздігі, анықталған жүректің ишемиялық ауруы, шеткері артериялар ауруы және/немесе цереброваскулярлық ауруы бар пациенттерге лорноксикам қолдану пайда мен қауіптерді мұқият бағаланғаннан кейін жүргізілуі тиіс. Осындай бағалауды жүрек-қантамыр ауруларының даму қаупі факторлары (мысалы, гипертензия, гиперлипидемия, қант диабеті, темекі шегу) бар пациенттерде ұзақ мерзімді емді бастамас бұрын орындау қажет.</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Жұлын немесе эпидуральді анестезияға байланысты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 xml:space="preserve"> және гепаринмен бір мезгілде емдеу жұлын/ эпидуральді ге</w:t>
      </w:r>
      <w:r>
        <w:rPr>
          <w:rFonts w:ascii="Times New Roman" w:hAnsi="Times New Roman"/>
          <w:sz w:val="28"/>
          <w:szCs w:val="28"/>
          <w:lang w:val="kk-KZ" w:eastAsia="ru-RU"/>
        </w:rPr>
        <w:t>матомалардың қаупін арттырады</w:t>
      </w:r>
      <w:r w:rsidRPr="009927B7">
        <w:rPr>
          <w:rFonts w:ascii="Times New Roman" w:hAnsi="Times New Roman"/>
          <w:sz w:val="28"/>
          <w:szCs w:val="28"/>
          <w:lang w:val="kk-KZ" w:eastAsia="ru-RU"/>
        </w:rPr>
        <w:t>.</w:t>
      </w:r>
    </w:p>
    <w:p w:rsidR="009927B7" w:rsidRPr="009927B7" w:rsidRDefault="009927B7" w:rsidP="009927B7">
      <w:pPr>
        <w:spacing w:after="0" w:line="240" w:lineRule="auto"/>
        <w:jc w:val="both"/>
        <w:rPr>
          <w:rFonts w:ascii="Times New Roman" w:hAnsi="Times New Roman"/>
          <w:i/>
          <w:sz w:val="28"/>
          <w:szCs w:val="28"/>
          <w:lang w:val="kk-KZ" w:eastAsia="ru-RU"/>
        </w:rPr>
      </w:pPr>
      <w:r w:rsidRPr="009927B7">
        <w:rPr>
          <w:rFonts w:ascii="Times New Roman" w:eastAsia="Times New Roman" w:hAnsi="Times New Roman"/>
          <w:i/>
          <w:color w:val="000000"/>
          <w:sz w:val="28"/>
          <w:szCs w:val="28"/>
          <w:lang w:val="kk-KZ"/>
        </w:rPr>
        <w:t>Тері және теріасты тіндері  тарапынан бұзылулар</w:t>
      </w:r>
      <w:r w:rsidRPr="009927B7">
        <w:rPr>
          <w:rFonts w:ascii="Times New Roman" w:hAnsi="Times New Roman"/>
          <w:i/>
          <w:sz w:val="28"/>
          <w:szCs w:val="28"/>
          <w:lang w:val="kk-KZ" w:eastAsia="ru-RU"/>
        </w:rPr>
        <w:t xml:space="preserve"> </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Эксфолиативті дерматитті, Стивенс-Джонсон синдромы мен уытты эпидермальді некролизді қоса алғанда ауыр, кейде өлімге әкелетін тері реакциялары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 xml:space="preserve"> қолдануға байланысты өте сирек жағдайларда </w:t>
      </w:r>
      <w:r>
        <w:rPr>
          <w:rFonts w:ascii="Times New Roman" w:hAnsi="Times New Roman"/>
          <w:sz w:val="28"/>
          <w:szCs w:val="28"/>
          <w:lang w:val="kk-KZ" w:eastAsia="ru-RU"/>
        </w:rPr>
        <w:t>сипатталды.</w:t>
      </w:r>
      <w:r w:rsidRPr="009927B7">
        <w:rPr>
          <w:rFonts w:ascii="Times New Roman" w:hAnsi="Times New Roman"/>
          <w:sz w:val="28"/>
          <w:szCs w:val="28"/>
          <w:lang w:val="kk-KZ" w:eastAsia="ru-RU"/>
        </w:rPr>
        <w:t xml:space="preserve"> Мұндай реакциялардың ең жоғары қаупі терапияның басында, көп жағдайда емдеудің бірінші айында болады. Тері бөртпесі, шырышты қабықтың зақымдануы немесе жеке сезімталдықтың жоғарылауының басқа белгілері пайда болған кезде лорноксикамнан бас тарту керек.</w:t>
      </w:r>
    </w:p>
    <w:p w:rsidR="009927B7" w:rsidRPr="009927B7" w:rsidRDefault="009927B7" w:rsidP="009927B7">
      <w:pPr>
        <w:spacing w:after="0" w:line="240" w:lineRule="auto"/>
        <w:jc w:val="both"/>
        <w:rPr>
          <w:rFonts w:ascii="Times New Roman" w:eastAsia="Times New Roman" w:hAnsi="Times New Roman"/>
          <w:i/>
          <w:color w:val="000000"/>
          <w:sz w:val="28"/>
          <w:szCs w:val="28"/>
          <w:lang w:val="kk-KZ"/>
        </w:rPr>
      </w:pPr>
      <w:r w:rsidRPr="009927B7">
        <w:rPr>
          <w:rFonts w:ascii="Times New Roman" w:eastAsia="Times New Roman" w:hAnsi="Times New Roman"/>
          <w:i/>
          <w:color w:val="000000"/>
          <w:sz w:val="28"/>
          <w:szCs w:val="28"/>
          <w:lang w:val="kk-KZ"/>
        </w:rPr>
        <w:t>Ты</w:t>
      </w:r>
      <w:r w:rsidR="002903E7">
        <w:rPr>
          <w:rFonts w:ascii="Times New Roman" w:eastAsia="Times New Roman" w:hAnsi="Times New Roman"/>
          <w:i/>
          <w:color w:val="000000"/>
          <w:sz w:val="28"/>
          <w:szCs w:val="28"/>
          <w:lang w:val="kk-KZ"/>
        </w:rPr>
        <w:t xml:space="preserve">ныс алу жүйесі </w:t>
      </w:r>
      <w:r w:rsidRPr="009927B7">
        <w:rPr>
          <w:rFonts w:ascii="Times New Roman" w:eastAsia="Times New Roman" w:hAnsi="Times New Roman"/>
          <w:i/>
          <w:color w:val="000000"/>
          <w:sz w:val="28"/>
          <w:szCs w:val="28"/>
          <w:lang w:val="kk-KZ"/>
        </w:rPr>
        <w:t>тарапынан бұзылулар</w:t>
      </w:r>
    </w:p>
    <w:p w:rsidR="009927B7" w:rsidRPr="009927B7" w:rsidRDefault="002F4335" w:rsidP="009927B7">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ҚҚСП</w:t>
      </w:r>
      <w:r w:rsidR="009927B7" w:rsidRPr="009927B7">
        <w:rPr>
          <w:rFonts w:ascii="Times New Roman" w:hAnsi="Times New Roman"/>
          <w:sz w:val="28"/>
          <w:szCs w:val="28"/>
          <w:lang w:val="kk-KZ" w:eastAsia="ru-RU"/>
        </w:rPr>
        <w:t xml:space="preserve"> бронх демікпесі бар немесе анемнезінде демікпе бар пациенттерде бронх түйілуін тудыруы мүмкін болғандықтан, оны сақтықпен тағайындау керек. </w:t>
      </w:r>
    </w:p>
    <w:p w:rsidR="009927B7" w:rsidRPr="009927B7" w:rsidRDefault="009927B7" w:rsidP="009927B7">
      <w:pPr>
        <w:spacing w:after="0" w:line="240" w:lineRule="auto"/>
        <w:jc w:val="both"/>
        <w:rPr>
          <w:rFonts w:ascii="Times New Roman" w:hAnsi="Times New Roman"/>
          <w:i/>
          <w:iCs/>
          <w:sz w:val="28"/>
          <w:szCs w:val="28"/>
          <w:lang w:val="kk-KZ" w:eastAsia="ru-RU"/>
        </w:rPr>
      </w:pPr>
      <w:r w:rsidRPr="009927B7">
        <w:rPr>
          <w:rFonts w:ascii="Times New Roman" w:hAnsi="Times New Roman"/>
          <w:i/>
          <w:sz w:val="28"/>
          <w:szCs w:val="28"/>
          <w:lang w:val="kk-KZ" w:eastAsia="ru-RU"/>
        </w:rPr>
        <w:t xml:space="preserve">Жүйелі қызыл жегі және дәнекер тіннің аралас аурулары </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Жүйелі қызыл жегі (ЖҚЖ) және дәнекер тіннің аралас аурулары бар пациенттерде асептикалық менингит қаупі жоғары болуына байланысты оларды емдеу кезінде сақ болу керек. </w:t>
      </w:r>
    </w:p>
    <w:p w:rsidR="009927B7" w:rsidRPr="009927B7" w:rsidRDefault="009927B7" w:rsidP="009927B7">
      <w:pPr>
        <w:spacing w:after="0" w:line="240" w:lineRule="auto"/>
        <w:jc w:val="both"/>
        <w:rPr>
          <w:rFonts w:ascii="Times New Roman" w:hAnsi="Times New Roman"/>
          <w:bCs/>
          <w:i/>
          <w:sz w:val="28"/>
          <w:szCs w:val="28"/>
          <w:lang w:val="kk-KZ" w:eastAsia="ru-RU"/>
        </w:rPr>
      </w:pPr>
      <w:r w:rsidRPr="009927B7">
        <w:rPr>
          <w:rFonts w:ascii="Times New Roman" w:hAnsi="Times New Roman"/>
          <w:i/>
          <w:sz w:val="28"/>
          <w:szCs w:val="28"/>
          <w:lang w:val="kk-KZ" w:eastAsia="ru-RU"/>
        </w:rPr>
        <w:t>Нефроуыттылық</w:t>
      </w:r>
    </w:p>
    <w:p w:rsidR="009927B7" w:rsidRPr="009927B7" w:rsidRDefault="002F4335" w:rsidP="009927B7">
      <w:pPr>
        <w:spacing w:after="0" w:line="240" w:lineRule="auto"/>
        <w:jc w:val="both"/>
        <w:rPr>
          <w:rFonts w:ascii="Times New Roman" w:hAnsi="Times New Roman"/>
          <w:sz w:val="28"/>
          <w:szCs w:val="28"/>
          <w:lang w:val="kk-KZ" w:eastAsia="ru-RU"/>
        </w:rPr>
      </w:pPr>
      <w:r>
        <w:rPr>
          <w:rFonts w:ascii="Times New Roman" w:hAnsi="Times New Roman"/>
          <w:sz w:val="28"/>
          <w:szCs w:val="28"/>
          <w:lang w:val="kk-KZ" w:eastAsia="ru-RU"/>
        </w:rPr>
        <w:t>ҚҚСП</w:t>
      </w:r>
      <w:r w:rsidR="009927B7" w:rsidRPr="009927B7">
        <w:rPr>
          <w:rFonts w:ascii="Times New Roman" w:hAnsi="Times New Roman"/>
          <w:sz w:val="28"/>
          <w:szCs w:val="28"/>
          <w:lang w:val="kk-KZ" w:eastAsia="ru-RU"/>
        </w:rPr>
        <w:t xml:space="preserve"> мен такролимусты бірге қолдану бүйректегі простациклин синтезінің азаюына байланысты нефроуыттылық қаупін арттыруы мүмкін. </w:t>
      </w:r>
      <w:r w:rsidR="009927B7" w:rsidRPr="009927B7">
        <w:rPr>
          <w:rFonts w:ascii="Times New Roman" w:hAnsi="Times New Roman"/>
          <w:sz w:val="28"/>
          <w:szCs w:val="28"/>
          <w:lang w:val="kk-KZ" w:eastAsia="ru-RU"/>
        </w:rPr>
        <w:lastRenderedPageBreak/>
        <w:t>Осындай біріккен терапияны алатын пациенттерде бүйрек функциясын мұқият бақ</w:t>
      </w:r>
      <w:r w:rsidR="006A20C1">
        <w:rPr>
          <w:rFonts w:ascii="Times New Roman" w:hAnsi="Times New Roman"/>
          <w:sz w:val="28"/>
          <w:szCs w:val="28"/>
          <w:lang w:val="kk-KZ" w:eastAsia="ru-RU"/>
        </w:rPr>
        <w:t>ылау керек</w:t>
      </w:r>
      <w:r w:rsidR="009927B7" w:rsidRPr="009927B7">
        <w:rPr>
          <w:rFonts w:ascii="Times New Roman" w:hAnsi="Times New Roman"/>
          <w:sz w:val="28"/>
          <w:szCs w:val="28"/>
          <w:lang w:val="kk-KZ" w:eastAsia="ru-RU"/>
        </w:rPr>
        <w:t>.</w:t>
      </w:r>
    </w:p>
    <w:p w:rsidR="009927B7" w:rsidRPr="009927B7" w:rsidRDefault="009927B7" w:rsidP="009927B7">
      <w:pPr>
        <w:spacing w:after="0" w:line="240" w:lineRule="auto"/>
        <w:jc w:val="both"/>
        <w:rPr>
          <w:rFonts w:ascii="Times New Roman" w:hAnsi="Times New Roman"/>
          <w:i/>
          <w:sz w:val="28"/>
          <w:szCs w:val="28"/>
          <w:lang w:val="kk-KZ" w:eastAsia="ru-RU"/>
        </w:rPr>
      </w:pPr>
      <w:r w:rsidRPr="009927B7">
        <w:rPr>
          <w:rFonts w:ascii="Times New Roman" w:hAnsi="Times New Roman"/>
          <w:i/>
          <w:sz w:val="28"/>
          <w:szCs w:val="28"/>
          <w:lang w:val="kk-KZ" w:eastAsia="ru-RU"/>
        </w:rPr>
        <w:t>Зертханалық көрсеткіштердің нормадан ауытқуы</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Көптеген басқа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 xml:space="preserve"> қабылдағандағыдай трансаминазалар, билирубин концентрацияларының немесе қан сарысуындағы бауыр функциясының басқа көрсеткіштерінің жоғарылау, сондай-ақ қандағы креатинин мен мочевина азотының жоғарылау жағдайлары және зертханалық көрсеткіштердің басқа өзгерістері тіркелді. Егер бұл ауытқулар елеулі болса немесе сақталса, лорноксикамды қолдануды тоқтатып, тиісті тексеруді өткізу керек.</w:t>
      </w:r>
    </w:p>
    <w:p w:rsidR="009927B7" w:rsidRPr="009927B7" w:rsidRDefault="009927B7" w:rsidP="009927B7">
      <w:pPr>
        <w:spacing w:after="0" w:line="240" w:lineRule="auto"/>
        <w:jc w:val="both"/>
        <w:rPr>
          <w:rFonts w:ascii="Times New Roman" w:hAnsi="Times New Roman"/>
          <w:i/>
          <w:strike/>
          <w:sz w:val="28"/>
          <w:szCs w:val="28"/>
          <w:lang w:val="kk-KZ" w:eastAsia="ru-RU"/>
        </w:rPr>
      </w:pPr>
      <w:r w:rsidRPr="009927B7">
        <w:rPr>
          <w:rFonts w:ascii="Times New Roman" w:hAnsi="Times New Roman"/>
          <w:i/>
          <w:sz w:val="28"/>
          <w:szCs w:val="28"/>
          <w:lang w:val="kk-KZ" w:eastAsia="ru-RU"/>
        </w:rPr>
        <w:t>Фертильділік</w:t>
      </w:r>
    </w:p>
    <w:p w:rsidR="00093E86" w:rsidRPr="009927B7" w:rsidRDefault="00093E86" w:rsidP="00093E86">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Лорноксикамды қабылдау</w:t>
      </w:r>
      <w:r>
        <w:rPr>
          <w:rFonts w:ascii="Times New Roman" w:hAnsi="Times New Roman"/>
          <w:sz w:val="28"/>
          <w:szCs w:val="28"/>
          <w:lang w:val="kk-KZ" w:eastAsia="ru-RU"/>
        </w:rPr>
        <w:t xml:space="preserve">, </w:t>
      </w:r>
      <w:r w:rsidRPr="009927B7">
        <w:rPr>
          <w:rFonts w:ascii="Times New Roman" w:hAnsi="Times New Roman"/>
          <w:sz w:val="28"/>
          <w:szCs w:val="28"/>
          <w:lang w:val="kk-KZ" w:eastAsia="ru-RU"/>
        </w:rPr>
        <w:t xml:space="preserve">циклооксигеназа/простагландиндер синтезін </w:t>
      </w:r>
      <w:r>
        <w:rPr>
          <w:rFonts w:ascii="Times New Roman" w:hAnsi="Times New Roman"/>
          <w:sz w:val="28"/>
          <w:szCs w:val="28"/>
          <w:lang w:val="kk-KZ" w:eastAsia="ru-RU"/>
        </w:rPr>
        <w:t xml:space="preserve">айтарлықтай </w:t>
      </w:r>
      <w:r w:rsidRPr="009927B7">
        <w:rPr>
          <w:rFonts w:ascii="Times New Roman" w:hAnsi="Times New Roman"/>
          <w:sz w:val="28"/>
          <w:szCs w:val="28"/>
          <w:lang w:val="kk-KZ" w:eastAsia="ru-RU"/>
        </w:rPr>
        <w:t xml:space="preserve">тежейтін кез келген басқа </w:t>
      </w:r>
      <w:r>
        <w:rPr>
          <w:rFonts w:ascii="Times New Roman" w:hAnsi="Times New Roman"/>
          <w:sz w:val="28"/>
          <w:szCs w:val="28"/>
          <w:lang w:val="kk-KZ" w:eastAsia="ru-RU"/>
        </w:rPr>
        <w:t>препараттар</w:t>
      </w:r>
      <w:r w:rsidRPr="009927B7">
        <w:rPr>
          <w:rFonts w:ascii="Times New Roman" w:hAnsi="Times New Roman"/>
          <w:sz w:val="28"/>
          <w:szCs w:val="28"/>
          <w:lang w:val="kk-KZ" w:eastAsia="ru-RU"/>
        </w:rPr>
        <w:t xml:space="preserve"> секілді </w:t>
      </w:r>
      <w:r>
        <w:rPr>
          <w:rFonts w:ascii="Times New Roman" w:hAnsi="Times New Roman"/>
          <w:sz w:val="28"/>
          <w:szCs w:val="28"/>
          <w:lang w:val="kk-KZ" w:eastAsia="ru-RU"/>
        </w:rPr>
        <w:t>фертильділікке</w:t>
      </w:r>
      <w:r w:rsidRPr="009927B7">
        <w:rPr>
          <w:rFonts w:ascii="Times New Roman" w:hAnsi="Times New Roman"/>
          <w:sz w:val="28"/>
          <w:szCs w:val="28"/>
          <w:lang w:val="kk-KZ" w:eastAsia="ru-RU"/>
        </w:rPr>
        <w:t xml:space="preserve"> теріс әсер етуі мүмкін, сондықтан ол жүктілікті жоспарлайтын әйелдерге ұсынылмайды. Жүкті бола алмай жүрген немесе бедеулікке байланысты тексеруден өтетін әйелдерге қатысты лорноксикамды тоқта</w:t>
      </w:r>
      <w:r>
        <w:rPr>
          <w:rFonts w:ascii="Times New Roman" w:hAnsi="Times New Roman"/>
          <w:sz w:val="28"/>
          <w:szCs w:val="28"/>
          <w:lang w:val="kk-KZ" w:eastAsia="ru-RU"/>
        </w:rPr>
        <w:t>ту мүмкіндігін қарастыру керек</w:t>
      </w:r>
      <w:r w:rsidRPr="009927B7">
        <w:rPr>
          <w:rFonts w:ascii="Times New Roman" w:hAnsi="Times New Roman"/>
          <w:sz w:val="28"/>
          <w:szCs w:val="28"/>
          <w:lang w:val="kk-KZ" w:eastAsia="ru-RU"/>
        </w:rPr>
        <w:t>.</w:t>
      </w:r>
    </w:p>
    <w:p w:rsidR="009927B7" w:rsidRPr="009927B7" w:rsidRDefault="009927B7" w:rsidP="009927B7">
      <w:pPr>
        <w:spacing w:after="0" w:line="240" w:lineRule="auto"/>
        <w:jc w:val="both"/>
        <w:rPr>
          <w:rFonts w:ascii="Times New Roman" w:hAnsi="Times New Roman"/>
          <w:i/>
          <w:sz w:val="28"/>
          <w:szCs w:val="28"/>
          <w:lang w:val="kk-KZ" w:eastAsia="ru-RU"/>
        </w:rPr>
      </w:pPr>
      <w:r w:rsidRPr="009927B7">
        <w:rPr>
          <w:rFonts w:ascii="Times New Roman" w:hAnsi="Times New Roman"/>
          <w:i/>
          <w:sz w:val="28"/>
          <w:szCs w:val="28"/>
          <w:lang w:val="kk-KZ" w:eastAsia="ru-RU"/>
        </w:rPr>
        <w:t>Желшешек</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Ерекше жағдайларда желшешек тері мен жұмсақ тіндердің күрделі инфекциялық асқынуына себеп болуы мүмкін.</w:t>
      </w:r>
    </w:p>
    <w:p w:rsidR="009927B7" w:rsidRPr="009927B7" w:rsidRDefault="009927B7" w:rsidP="009927B7">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 xml:space="preserve">Осы уақытқа дейін </w:t>
      </w:r>
      <w:r w:rsidR="002F4335">
        <w:rPr>
          <w:rFonts w:ascii="Times New Roman" w:hAnsi="Times New Roman"/>
          <w:sz w:val="28"/>
          <w:szCs w:val="28"/>
          <w:lang w:val="kk-KZ" w:eastAsia="ru-RU"/>
        </w:rPr>
        <w:t>ҚҚСП</w:t>
      </w:r>
      <w:r w:rsidRPr="009927B7">
        <w:rPr>
          <w:rFonts w:ascii="Times New Roman" w:hAnsi="Times New Roman"/>
          <w:sz w:val="28"/>
          <w:szCs w:val="28"/>
          <w:lang w:val="kk-KZ" w:eastAsia="ru-RU"/>
        </w:rPr>
        <w:t xml:space="preserve"> осы инфекциялардың нашарлауына ықпал етуі мүмкін екенін жоққа шығаруға болмайды. Сондықтан лорноксикамды желшешекке қолданудан аулақ болған жөн. </w:t>
      </w:r>
    </w:p>
    <w:p w:rsidR="00456BA0" w:rsidRPr="002301E0" w:rsidRDefault="00456BA0" w:rsidP="00FA47DB">
      <w:pPr>
        <w:spacing w:after="0" w:line="240" w:lineRule="auto"/>
        <w:jc w:val="both"/>
        <w:rPr>
          <w:rFonts w:ascii="Times New Roman" w:eastAsia="Times New Roman" w:hAnsi="Times New Roman"/>
          <w:b/>
          <w:i/>
          <w:sz w:val="28"/>
          <w:szCs w:val="28"/>
          <w:lang w:val="kk-KZ" w:eastAsia="ru-RU"/>
        </w:rPr>
      </w:pPr>
      <w:r w:rsidRPr="002301E0">
        <w:rPr>
          <w:rFonts w:ascii="Times New Roman" w:eastAsia="Times New Roman" w:hAnsi="Times New Roman"/>
          <w:b/>
          <w:i/>
          <w:sz w:val="28"/>
          <w:szCs w:val="28"/>
          <w:lang w:val="kk-KZ" w:eastAsia="ru-RU"/>
        </w:rPr>
        <w:t>Басқа дәрілік препараттармен өзара әрекеттесуі</w:t>
      </w:r>
    </w:p>
    <w:p w:rsidR="006A20C1" w:rsidRPr="006A20C1" w:rsidRDefault="006A20C1" w:rsidP="006A20C1">
      <w:pPr>
        <w:spacing w:after="0" w:line="240" w:lineRule="auto"/>
        <w:jc w:val="both"/>
        <w:rPr>
          <w:rFonts w:ascii="Times New Roman" w:hAnsi="Times New Roman"/>
          <w:color w:val="000000"/>
          <w:sz w:val="28"/>
          <w:szCs w:val="28"/>
          <w:lang w:val="kk-KZ"/>
        </w:rPr>
      </w:pPr>
      <w:bookmarkStart w:id="0" w:name="2175220271"/>
      <w:bookmarkStart w:id="1" w:name="_Hlk33542438"/>
      <w:bookmarkEnd w:id="0"/>
      <w:r w:rsidRPr="006A20C1">
        <w:rPr>
          <w:rFonts w:ascii="Times New Roman" w:hAnsi="Times New Roman"/>
          <w:color w:val="000000"/>
          <w:sz w:val="28"/>
          <w:szCs w:val="28"/>
          <w:lang w:val="kk-KZ"/>
        </w:rPr>
        <w:t>Лорноксикам мен келесілерді бір уақытта қолданғанда:</w:t>
      </w:r>
    </w:p>
    <w:p w:rsidR="006A20C1" w:rsidRPr="006A20C1" w:rsidRDefault="006A20C1" w:rsidP="006A20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циметидин: лорноксикамның жағымсыз әсерлері қаупін жоғарылатуы мүмкін плазмадағы лорноксикам деңгейі концентрациясын арттыруы ықтимал (лорноксикам мен ранитидин немесе антацидтер арасында ешқандай өзара әрекеттесу анықталған жоқ)</w:t>
      </w:r>
    </w:p>
    <w:p w:rsidR="006A20C1" w:rsidRPr="006A20C1" w:rsidRDefault="006A20C1" w:rsidP="006A20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 xml:space="preserve">антикоагулянттар: </w:t>
      </w:r>
      <w:r w:rsidR="002F4335">
        <w:rPr>
          <w:rFonts w:ascii="Times New Roman" w:hAnsi="Times New Roman"/>
          <w:color w:val="000000"/>
          <w:sz w:val="28"/>
          <w:szCs w:val="28"/>
          <w:lang w:val="kk-KZ"/>
        </w:rPr>
        <w:t>ҚҚСП</w:t>
      </w:r>
      <w:r w:rsidRPr="006A20C1">
        <w:rPr>
          <w:rFonts w:ascii="Times New Roman" w:hAnsi="Times New Roman"/>
          <w:color w:val="000000"/>
          <w:sz w:val="28"/>
          <w:szCs w:val="28"/>
          <w:lang w:val="kk-KZ"/>
        </w:rPr>
        <w:t xml:space="preserve"> варфарин секілді антикоагулянттардың әсерлерін күшейтуі </w:t>
      </w:r>
      <w:r>
        <w:rPr>
          <w:rFonts w:ascii="Times New Roman" w:hAnsi="Times New Roman"/>
          <w:color w:val="000000"/>
          <w:sz w:val="28"/>
          <w:szCs w:val="28"/>
          <w:lang w:val="kk-KZ"/>
        </w:rPr>
        <w:t>ықтимал</w:t>
      </w:r>
      <w:r w:rsidRPr="006A20C1">
        <w:rPr>
          <w:rFonts w:ascii="Times New Roman" w:hAnsi="Times New Roman"/>
          <w:sz w:val="28"/>
          <w:szCs w:val="28"/>
          <w:lang w:val="kk-KZ" w:eastAsia="ru-RU"/>
        </w:rPr>
        <w:t>.</w:t>
      </w:r>
      <w:r w:rsidRPr="006A20C1">
        <w:rPr>
          <w:rFonts w:ascii="Times New Roman" w:hAnsi="Times New Roman"/>
          <w:color w:val="000000"/>
          <w:sz w:val="28"/>
          <w:szCs w:val="28"/>
          <w:lang w:val="kk-KZ"/>
        </w:rPr>
        <w:t xml:space="preserve"> Халықаралық нормаланған қатынасты (ХҚО)</w:t>
      </w:r>
      <w:r>
        <w:rPr>
          <w:rFonts w:ascii="Times New Roman" w:hAnsi="Times New Roman"/>
          <w:color w:val="000000"/>
          <w:sz w:val="28"/>
          <w:szCs w:val="28"/>
          <w:lang w:val="kk-KZ"/>
        </w:rPr>
        <w:t xml:space="preserve"> </w:t>
      </w:r>
      <w:r w:rsidRPr="006A20C1">
        <w:rPr>
          <w:rFonts w:ascii="Times New Roman" w:hAnsi="Times New Roman"/>
          <w:color w:val="000000"/>
          <w:sz w:val="28"/>
          <w:szCs w:val="28"/>
          <w:lang w:val="kk-KZ"/>
        </w:rPr>
        <w:t>бақылау көрсетілген</w:t>
      </w:r>
    </w:p>
    <w:p w:rsidR="006A20C1" w:rsidRDefault="006A20C1" w:rsidP="006D3090">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фенпрокумон: фенпрокумонның емдік әсерін төмендетуі мүмкін</w:t>
      </w:r>
    </w:p>
    <w:p w:rsidR="006A20C1" w:rsidRPr="006A20C1" w:rsidRDefault="006A20C1" w:rsidP="006D3090">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 xml:space="preserve">гепарин: жұлын немесе эпидуральді анестезияға байланысты гепаринмен бір мезгілде қолданғанда </w:t>
      </w:r>
      <w:r w:rsidR="002F4335">
        <w:rPr>
          <w:rFonts w:ascii="Times New Roman" w:hAnsi="Times New Roman"/>
          <w:color w:val="000000"/>
          <w:sz w:val="28"/>
          <w:szCs w:val="28"/>
          <w:lang w:val="kk-KZ"/>
        </w:rPr>
        <w:t>ҚҚСП</w:t>
      </w:r>
      <w:r w:rsidRPr="006A20C1">
        <w:rPr>
          <w:rFonts w:ascii="Times New Roman" w:hAnsi="Times New Roman"/>
          <w:color w:val="000000"/>
          <w:sz w:val="28"/>
          <w:szCs w:val="28"/>
          <w:lang w:val="kk-KZ"/>
        </w:rPr>
        <w:t xml:space="preserve"> қан кету қаупін, сондай-ақ жұлын немесе эпидуральді гематомаларды арттырады </w:t>
      </w:r>
    </w:p>
    <w:p w:rsidR="006A20C1" w:rsidRPr="006A20C1" w:rsidRDefault="006A20C1" w:rsidP="006A20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ангиотензин өзгертуші фермент (АӨФ) тежегіштері: АӨФ тежегіштері гипертензияға қарсы әсерді төмендеуі мүмкін</w:t>
      </w:r>
    </w:p>
    <w:p w:rsidR="006A20C1" w:rsidRPr="006A20C1" w:rsidRDefault="006A20C1" w:rsidP="006A20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диуретиктер: ілмекті, тиазидті және калий сақтайтын диуретиктердің диурездік  және гипертензияға қарсы әсерлерң төмендеуі (гиперкалиемия мен нефроуыттылықтың даму қаупінің жоғарылауы) мүмкін</w:t>
      </w:r>
    </w:p>
    <w:p w:rsidR="006A20C1" w:rsidRPr="006A20C1" w:rsidRDefault="006A20C1" w:rsidP="006A20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бета-адренергиялық рецепторлар блокаторлары: гипертензияға қарсы тиімділіктің төмендеуі ықтимал</w:t>
      </w:r>
    </w:p>
    <w:p w:rsidR="006A20C1" w:rsidRPr="006A20C1" w:rsidRDefault="006A20C1" w:rsidP="006A20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lastRenderedPageBreak/>
        <w:t>ангиотензин II рецепторлары блокаторлары: гипертензияға қарсы тиімділіктің төмендеуі ықтимал</w:t>
      </w:r>
    </w:p>
    <w:p w:rsidR="006A20C1" w:rsidRPr="006A20C1" w:rsidRDefault="006A20C1" w:rsidP="006A20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 xml:space="preserve">дигоксин: дигоксин уыттылығы қаупін арттыруы мүмкін дигоксиннің бүйрек клиренсі төмендеуі ықтимал </w:t>
      </w:r>
    </w:p>
    <w:p w:rsidR="006A20C1" w:rsidRPr="006A20C1" w:rsidRDefault="006A20C1" w:rsidP="006A20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кортикостероидтар: асқазан-ішек жолы жаралары</w:t>
      </w:r>
      <w:r>
        <w:rPr>
          <w:rFonts w:ascii="Times New Roman" w:hAnsi="Times New Roman"/>
          <w:color w:val="000000"/>
          <w:sz w:val="28"/>
          <w:szCs w:val="28"/>
          <w:lang w:val="kk-KZ"/>
        </w:rPr>
        <w:t xml:space="preserve"> немесе қан кету қаупі артады</w:t>
      </w:r>
    </w:p>
    <w:p w:rsidR="006A20C1" w:rsidRPr="006A20C1" w:rsidRDefault="006A20C1" w:rsidP="006A20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хинолонды антибиотиктер (мысалы, левофлоксацин, офлоксацин): құрысу ұстамаларының туындау қаупінің жоғарылауы</w:t>
      </w:r>
    </w:p>
    <w:p w:rsidR="006A20C1" w:rsidRPr="006A20C1" w:rsidRDefault="006A20C1" w:rsidP="006A20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антитромбоцитарлық препараттар (мысалы, клопидогрел)</w:t>
      </w:r>
      <w:r>
        <w:rPr>
          <w:rFonts w:ascii="Times New Roman" w:hAnsi="Times New Roman"/>
          <w:color w:val="000000"/>
          <w:sz w:val="28"/>
          <w:szCs w:val="28"/>
          <w:lang w:val="kk-KZ"/>
        </w:rPr>
        <w:t xml:space="preserve">: қан кету қаупінің жоғарылауы </w:t>
      </w:r>
    </w:p>
    <w:p w:rsidR="006A20C1" w:rsidRDefault="006A20C1" w:rsidP="001435C1">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 xml:space="preserve">басқа </w:t>
      </w:r>
      <w:r w:rsidR="002F4335">
        <w:rPr>
          <w:rFonts w:ascii="Times New Roman" w:hAnsi="Times New Roman"/>
          <w:color w:val="000000"/>
          <w:sz w:val="28"/>
          <w:szCs w:val="28"/>
          <w:lang w:val="kk-KZ"/>
        </w:rPr>
        <w:t>ҚҚСП</w:t>
      </w:r>
      <w:r w:rsidRPr="006A20C1">
        <w:rPr>
          <w:rFonts w:ascii="Times New Roman" w:hAnsi="Times New Roman"/>
          <w:color w:val="000000"/>
          <w:sz w:val="28"/>
          <w:szCs w:val="28"/>
          <w:lang w:val="kk-KZ"/>
        </w:rPr>
        <w:t>: асқазан-ішектен қан кету немесе жаралары қаупі артады</w:t>
      </w:r>
    </w:p>
    <w:p w:rsidR="006A20C1" w:rsidRDefault="006A20C1" w:rsidP="00C0422A">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метотрексат: метотрексаттың сарысулық концентрациясының жоғарылауы. Бұл уыттылықтың жоғарылауына әкелуі мүмкін. Біріктірілген емді жүргізу қажет болған жағдайда мұқият бақылауға назар аудару керек</w:t>
      </w:r>
    </w:p>
    <w:p w:rsidR="006A20C1" w:rsidRPr="006A20C1" w:rsidRDefault="006A20C1" w:rsidP="00503B87">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sz w:val="28"/>
          <w:szCs w:val="28"/>
          <w:lang w:val="kk-KZ" w:eastAsia="ru-RU"/>
        </w:rPr>
        <w:t>серотонинді кері қармаудың селективті тежегіштері (СКҚСТ): қан кету қаупінің артуы</w:t>
      </w:r>
    </w:p>
    <w:p w:rsidR="006A20C1" w:rsidRDefault="006A20C1" w:rsidP="00014DEC">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 xml:space="preserve">литий: </w:t>
      </w:r>
      <w:r w:rsidR="002F4335">
        <w:rPr>
          <w:rFonts w:ascii="Times New Roman" w:hAnsi="Times New Roman"/>
          <w:color w:val="000000"/>
          <w:sz w:val="28"/>
          <w:szCs w:val="28"/>
          <w:lang w:val="kk-KZ"/>
        </w:rPr>
        <w:t>ҚҚСП</w:t>
      </w:r>
      <w:r w:rsidRPr="006A20C1">
        <w:rPr>
          <w:rFonts w:ascii="Times New Roman" w:hAnsi="Times New Roman"/>
          <w:color w:val="000000"/>
          <w:sz w:val="28"/>
          <w:szCs w:val="28"/>
          <w:lang w:val="kk-KZ"/>
        </w:rPr>
        <w:t xml:space="preserve"> литий бүйрек клиренсін тежейді, солайша қан сарысуындағы литий концентрациясын уыттылық шегінен тыс арттыруы мүмкін. Сондықтан сарысудағы лития деңгейін, әсіресе емнің басында, дозаны таңдау және емдеуді тоқтату кезінде бақылау қажет</w:t>
      </w:r>
    </w:p>
    <w:p w:rsidR="006A20C1" w:rsidRPr="006A20C1" w:rsidRDefault="006A20C1" w:rsidP="00014DEC">
      <w:pPr>
        <w:numPr>
          <w:ilvl w:val="0"/>
          <w:numId w:val="5"/>
        </w:numPr>
        <w:tabs>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 xml:space="preserve">циклоспорин: қан сарысуындағы циклоспорин концентрациясының жоғарылауы. Циклоспориннің бүйрек уыттылығы бүйрек простагландиндері арқылы болатын әсерлер есебінен жоғарылауы мүмкін. Бірлескен терапия кезінде бүйрек функциясын бақылау қажет </w:t>
      </w:r>
    </w:p>
    <w:p w:rsidR="006A20C1" w:rsidRPr="006A20C1" w:rsidRDefault="006A20C1" w:rsidP="006A20C1">
      <w:pPr>
        <w:numPr>
          <w:ilvl w:val="0"/>
          <w:numId w:val="6"/>
        </w:numPr>
        <w:tabs>
          <w:tab w:val="clear" w:pos="720"/>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сульфонилмочевина туындылары (мысалы, глибенкламид): гипогликемия қаупінің жоғарылауы</w:t>
      </w:r>
    </w:p>
    <w:p w:rsidR="006A20C1" w:rsidRDefault="006A20C1" w:rsidP="005A4CE7">
      <w:pPr>
        <w:numPr>
          <w:ilvl w:val="0"/>
          <w:numId w:val="6"/>
        </w:numPr>
        <w:tabs>
          <w:tab w:val="clear" w:pos="720"/>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 xml:space="preserve">CYP2C9 изоферменттерінің белгілі индукторлары мен тежегіштері: лорноксикам (Р450 2С9 (CYP2C9 изоферменті) цитохромының қатысуымен метаболизденетін басқа </w:t>
      </w:r>
      <w:r w:rsidR="002F4335">
        <w:rPr>
          <w:rFonts w:ascii="Times New Roman" w:hAnsi="Times New Roman"/>
          <w:color w:val="000000"/>
          <w:sz w:val="28"/>
          <w:szCs w:val="28"/>
          <w:lang w:val="kk-KZ"/>
        </w:rPr>
        <w:t>ҚҚСП</w:t>
      </w:r>
      <w:r w:rsidRPr="006A20C1">
        <w:rPr>
          <w:rFonts w:ascii="Times New Roman" w:hAnsi="Times New Roman"/>
          <w:color w:val="000000"/>
          <w:sz w:val="28"/>
          <w:szCs w:val="28"/>
          <w:lang w:val="kk-KZ"/>
        </w:rPr>
        <w:t xml:space="preserve"> секілді CYP2C9 изоферменттерінің белгілі индукторларымен және тежегіштерімен өзара әрекеттеседі </w:t>
      </w:r>
    </w:p>
    <w:p w:rsidR="006A20C1" w:rsidRPr="006A20C1" w:rsidRDefault="006A20C1" w:rsidP="005A4CE7">
      <w:pPr>
        <w:numPr>
          <w:ilvl w:val="0"/>
          <w:numId w:val="6"/>
        </w:numPr>
        <w:tabs>
          <w:tab w:val="clear" w:pos="720"/>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такролимус: бүйректегі простациклин синтезін азайту нәтижесінде нефроуыттылық қаупінің жоғарылауы. Біріктірілген ем барысында бүйрек</w:t>
      </w:r>
      <w:r>
        <w:rPr>
          <w:rFonts w:ascii="Times New Roman" w:hAnsi="Times New Roman"/>
          <w:color w:val="000000"/>
          <w:sz w:val="28"/>
          <w:szCs w:val="28"/>
          <w:lang w:val="kk-KZ"/>
        </w:rPr>
        <w:t xml:space="preserve"> функциясын қадағалау қажет</w:t>
      </w:r>
    </w:p>
    <w:p w:rsidR="006A20C1" w:rsidRPr="006A20C1" w:rsidRDefault="006A20C1" w:rsidP="006A20C1">
      <w:pPr>
        <w:numPr>
          <w:ilvl w:val="0"/>
          <w:numId w:val="6"/>
        </w:numPr>
        <w:tabs>
          <w:tab w:val="clear" w:pos="720"/>
          <w:tab w:val="left" w:pos="284"/>
        </w:tabs>
        <w:spacing w:after="0" w:line="240" w:lineRule="auto"/>
        <w:ind w:left="0" w:firstLine="0"/>
        <w:jc w:val="both"/>
        <w:rPr>
          <w:rFonts w:ascii="Times New Roman" w:hAnsi="Times New Roman"/>
          <w:color w:val="000000"/>
          <w:sz w:val="28"/>
          <w:szCs w:val="28"/>
          <w:lang w:val="kk-KZ"/>
        </w:rPr>
      </w:pPr>
      <w:r w:rsidRPr="006A20C1">
        <w:rPr>
          <w:rFonts w:ascii="Times New Roman" w:hAnsi="Times New Roman"/>
          <w:color w:val="000000"/>
          <w:sz w:val="28"/>
          <w:szCs w:val="28"/>
          <w:lang w:val="kk-KZ"/>
        </w:rPr>
        <w:t xml:space="preserve"> пеметрексед: </w:t>
      </w:r>
      <w:r w:rsidR="002F4335">
        <w:rPr>
          <w:rFonts w:ascii="Times New Roman" w:hAnsi="Times New Roman"/>
          <w:color w:val="000000"/>
          <w:sz w:val="28"/>
          <w:szCs w:val="28"/>
          <w:lang w:val="kk-KZ"/>
        </w:rPr>
        <w:t>ҚҚСП</w:t>
      </w:r>
      <w:r w:rsidRPr="006A20C1">
        <w:rPr>
          <w:rFonts w:ascii="Times New Roman" w:hAnsi="Times New Roman"/>
          <w:color w:val="000000"/>
          <w:sz w:val="28"/>
          <w:szCs w:val="28"/>
          <w:lang w:val="kk-KZ"/>
        </w:rPr>
        <w:t xml:space="preserve"> пеметрекседтің бүйрек клиренсін азайтуы, осылайша, бүйрек пен асқазан-ішек уыттылығы әсердің күшейтіп, миелосупрессияға әкелуі мүмкін.</w:t>
      </w:r>
    </w:p>
    <w:p w:rsidR="006A20C1" w:rsidRPr="006A20C1" w:rsidRDefault="006A20C1" w:rsidP="006A20C1">
      <w:pPr>
        <w:spacing w:after="0" w:line="240" w:lineRule="auto"/>
        <w:jc w:val="both"/>
        <w:rPr>
          <w:rFonts w:ascii="Times New Roman" w:hAnsi="Times New Roman"/>
          <w:color w:val="000000"/>
          <w:sz w:val="28"/>
          <w:szCs w:val="28"/>
          <w:lang w:val="kk-KZ"/>
        </w:rPr>
      </w:pPr>
      <w:r w:rsidRPr="006A20C1">
        <w:rPr>
          <w:rFonts w:ascii="Times New Roman" w:hAnsi="Times New Roman"/>
          <w:color w:val="000000"/>
          <w:sz w:val="28"/>
          <w:szCs w:val="28"/>
          <w:lang w:val="kk-KZ"/>
        </w:rPr>
        <w:t xml:space="preserve">Лорноксикам Вива Фарм препаратын тамақпен бірге қабылдаған кезде лорноксикамның сіңуі баяулайды. Осыған байланысты ауырсындырмайтын  әсердің  басталуы жылдам қажет болса, Лорноксикам Вива Фарм препаратын тамақпен бірге қабылдамаған жөн. </w:t>
      </w:r>
    </w:p>
    <w:p w:rsidR="006A20C1" w:rsidRPr="006A20C1" w:rsidRDefault="006A20C1" w:rsidP="006A20C1">
      <w:pPr>
        <w:spacing w:after="0" w:line="240" w:lineRule="auto"/>
        <w:jc w:val="both"/>
        <w:rPr>
          <w:rFonts w:ascii="Times New Roman" w:hAnsi="Times New Roman"/>
          <w:color w:val="000000"/>
          <w:sz w:val="28"/>
          <w:szCs w:val="28"/>
          <w:lang w:val="kk-KZ"/>
        </w:rPr>
      </w:pPr>
      <w:r w:rsidRPr="006A20C1">
        <w:rPr>
          <w:rFonts w:ascii="Times New Roman" w:hAnsi="Times New Roman"/>
          <w:color w:val="000000"/>
          <w:sz w:val="28"/>
          <w:szCs w:val="28"/>
          <w:lang w:val="kk-KZ"/>
        </w:rPr>
        <w:t>Тағам  препараттың сіңуін шамамен 20% төмендетіп, T</w:t>
      </w:r>
      <w:r w:rsidRPr="006A20C1">
        <w:rPr>
          <w:rFonts w:ascii="Times New Roman" w:hAnsi="Times New Roman"/>
          <w:color w:val="000000"/>
          <w:sz w:val="28"/>
          <w:szCs w:val="28"/>
          <w:vertAlign w:val="subscript"/>
          <w:lang w:val="kk-KZ"/>
        </w:rPr>
        <w:t>max</w:t>
      </w:r>
      <w:r w:rsidRPr="006A20C1">
        <w:rPr>
          <w:rFonts w:ascii="Times New Roman" w:hAnsi="Times New Roman"/>
          <w:color w:val="000000"/>
          <w:sz w:val="28"/>
          <w:szCs w:val="28"/>
          <w:lang w:val="kk-KZ"/>
        </w:rPr>
        <w:t xml:space="preserve"> </w:t>
      </w:r>
      <w:r w:rsidR="002903E7">
        <w:rPr>
          <w:rFonts w:ascii="Times New Roman" w:hAnsi="Times New Roman"/>
          <w:color w:val="000000"/>
          <w:sz w:val="28"/>
          <w:szCs w:val="28"/>
          <w:lang w:val="kk-KZ"/>
        </w:rPr>
        <w:t xml:space="preserve"> </w:t>
      </w:r>
      <w:r w:rsidRPr="006A20C1">
        <w:rPr>
          <w:rFonts w:ascii="Times New Roman" w:hAnsi="Times New Roman"/>
          <w:color w:val="000000"/>
          <w:sz w:val="28"/>
          <w:szCs w:val="28"/>
          <w:lang w:val="kk-KZ"/>
        </w:rPr>
        <w:t>арттырады</w:t>
      </w:r>
      <w:bookmarkEnd w:id="1"/>
      <w:r>
        <w:rPr>
          <w:rFonts w:ascii="Times New Roman" w:hAnsi="Times New Roman"/>
          <w:color w:val="000000"/>
          <w:sz w:val="28"/>
          <w:szCs w:val="28"/>
          <w:lang w:val="kk-KZ"/>
        </w:rPr>
        <w:t>.</w:t>
      </w:r>
    </w:p>
    <w:p w:rsidR="00456BA0" w:rsidRPr="002301E0" w:rsidRDefault="00456BA0" w:rsidP="00FA47DB">
      <w:pPr>
        <w:spacing w:after="0" w:line="240" w:lineRule="auto"/>
        <w:jc w:val="both"/>
        <w:rPr>
          <w:rFonts w:ascii="Times New Roman" w:eastAsia="Times New Roman" w:hAnsi="Times New Roman"/>
          <w:b/>
          <w:i/>
          <w:sz w:val="28"/>
          <w:szCs w:val="28"/>
          <w:lang w:val="kk-KZ" w:eastAsia="ru-RU"/>
        </w:rPr>
      </w:pPr>
      <w:r w:rsidRPr="002301E0">
        <w:rPr>
          <w:rFonts w:ascii="Times New Roman" w:eastAsia="Times New Roman" w:hAnsi="Times New Roman"/>
          <w:b/>
          <w:i/>
          <w:sz w:val="28"/>
          <w:szCs w:val="28"/>
          <w:lang w:val="kk-KZ" w:eastAsia="ru-RU"/>
        </w:rPr>
        <w:t>Арнайы сақтандырулар</w:t>
      </w:r>
    </w:p>
    <w:p w:rsidR="006A20C1" w:rsidRPr="006A20C1" w:rsidRDefault="006A20C1" w:rsidP="006A20C1">
      <w:pPr>
        <w:spacing w:after="0" w:line="240" w:lineRule="auto"/>
        <w:jc w:val="both"/>
        <w:textAlignment w:val="top"/>
        <w:rPr>
          <w:rFonts w:ascii="Times New Roman" w:eastAsia="Times New Roman" w:hAnsi="Times New Roman"/>
          <w:sz w:val="28"/>
          <w:szCs w:val="28"/>
          <w:lang w:val="kk-KZ"/>
        </w:rPr>
      </w:pPr>
      <w:r w:rsidRPr="006A20C1">
        <w:rPr>
          <w:rFonts w:ascii="Times New Roman" w:eastAsia="Times New Roman" w:hAnsi="Times New Roman"/>
          <w:sz w:val="28"/>
          <w:szCs w:val="28"/>
          <w:lang w:val="kk-KZ"/>
        </w:rPr>
        <w:lastRenderedPageBreak/>
        <w:t xml:space="preserve">Бұл препараттың құрамында лактоза бар. Сирек тұқым қуалайтын галактоза жақпаушылығы, Lapp-лактаза ферментінің жетіспеушілігі, глюкоза-галактозаның мальабсорбциясы бар пациенттер бұл препаратты қабылдамауы керек. </w:t>
      </w:r>
    </w:p>
    <w:p w:rsidR="006A20C1" w:rsidRPr="006A20C1" w:rsidRDefault="006A20C1" w:rsidP="006A20C1">
      <w:pPr>
        <w:spacing w:after="0" w:line="240" w:lineRule="auto"/>
        <w:jc w:val="both"/>
        <w:textAlignment w:val="top"/>
        <w:rPr>
          <w:rFonts w:ascii="Times New Roman" w:eastAsia="Times New Roman" w:hAnsi="Times New Roman"/>
          <w:sz w:val="28"/>
          <w:szCs w:val="28"/>
          <w:lang w:val="kk-KZ"/>
        </w:rPr>
      </w:pPr>
      <w:r w:rsidRPr="006A20C1">
        <w:rPr>
          <w:rFonts w:ascii="Times New Roman" w:eastAsia="Times New Roman" w:hAnsi="Times New Roman"/>
          <w:sz w:val="28"/>
          <w:szCs w:val="28"/>
          <w:lang w:val="kk-KZ"/>
        </w:rPr>
        <w:t>Препарат құрамында 10 мг натрий кроскармеллозы бар, бір реттік дозасында 1 ммольден (23 мг) аз натрийі бар препараттар натрийден бос препараттар болып саналады.</w:t>
      </w:r>
    </w:p>
    <w:p w:rsidR="00456BA0" w:rsidRPr="002301E0" w:rsidRDefault="00456BA0" w:rsidP="002F4335">
      <w:pPr>
        <w:tabs>
          <w:tab w:val="left" w:pos="6225"/>
        </w:tabs>
        <w:spacing w:after="0" w:line="240" w:lineRule="auto"/>
        <w:jc w:val="both"/>
        <w:rPr>
          <w:rFonts w:ascii="Times New Roman" w:eastAsia="Times New Roman" w:hAnsi="Times New Roman"/>
          <w:i/>
          <w:sz w:val="28"/>
          <w:szCs w:val="28"/>
          <w:lang w:val="kk-KZ"/>
        </w:rPr>
      </w:pPr>
      <w:r w:rsidRPr="002301E0">
        <w:rPr>
          <w:rFonts w:ascii="Times New Roman" w:eastAsia="Times New Roman" w:hAnsi="Times New Roman"/>
          <w:i/>
          <w:sz w:val="28"/>
          <w:szCs w:val="28"/>
          <w:lang w:val="kk-KZ"/>
        </w:rPr>
        <w:t xml:space="preserve">Жүктілік </w:t>
      </w:r>
      <w:r w:rsidR="002F4335">
        <w:rPr>
          <w:rFonts w:ascii="Times New Roman" w:eastAsia="Times New Roman" w:hAnsi="Times New Roman"/>
          <w:i/>
          <w:sz w:val="28"/>
          <w:szCs w:val="28"/>
          <w:lang w:val="kk-KZ"/>
        </w:rPr>
        <w:tab/>
      </w:r>
    </w:p>
    <w:p w:rsidR="006A20C1" w:rsidRPr="006A20C1" w:rsidRDefault="006A20C1" w:rsidP="006A20C1">
      <w:pPr>
        <w:spacing w:after="0" w:line="240" w:lineRule="auto"/>
        <w:jc w:val="both"/>
        <w:rPr>
          <w:rFonts w:ascii="Times New Roman" w:hAnsi="Times New Roman"/>
          <w:color w:val="000000"/>
          <w:sz w:val="28"/>
          <w:szCs w:val="28"/>
          <w:lang w:val="kk-KZ"/>
        </w:rPr>
      </w:pPr>
      <w:r w:rsidRPr="006A20C1">
        <w:rPr>
          <w:rFonts w:ascii="Times New Roman" w:hAnsi="Times New Roman"/>
          <w:color w:val="000000"/>
          <w:sz w:val="28"/>
          <w:szCs w:val="28"/>
          <w:lang w:val="kk-KZ"/>
        </w:rPr>
        <w:t>Лорноксикам препаратын жүктіліктің үшінші тр</w:t>
      </w:r>
      <w:r w:rsidR="003D5DF3">
        <w:rPr>
          <w:rFonts w:ascii="Times New Roman" w:hAnsi="Times New Roman"/>
          <w:color w:val="000000"/>
          <w:sz w:val="28"/>
          <w:szCs w:val="28"/>
          <w:lang w:val="kk-KZ"/>
        </w:rPr>
        <w:t xml:space="preserve">иместрінде қолдануға болмайды </w:t>
      </w:r>
      <w:r w:rsidRPr="006A20C1">
        <w:rPr>
          <w:rFonts w:ascii="Times New Roman" w:hAnsi="Times New Roman"/>
          <w:color w:val="000000"/>
          <w:sz w:val="28"/>
          <w:szCs w:val="28"/>
          <w:lang w:val="kk-KZ"/>
        </w:rPr>
        <w:t>және жүкті әйелдерде препаратты қолдану бойынша клиникалық деректердің болмауына байланысты оны бірінші және екінші триместрде және босану кезінде қабылдамаған жөн.</w:t>
      </w:r>
    </w:p>
    <w:p w:rsidR="006A20C1" w:rsidRPr="006A20C1" w:rsidRDefault="006A20C1" w:rsidP="006A20C1">
      <w:pPr>
        <w:spacing w:after="0" w:line="240" w:lineRule="auto"/>
        <w:jc w:val="both"/>
        <w:rPr>
          <w:rFonts w:ascii="Times New Roman" w:hAnsi="Times New Roman"/>
          <w:color w:val="000000"/>
          <w:sz w:val="28"/>
          <w:szCs w:val="28"/>
          <w:lang w:val="kk-KZ"/>
        </w:rPr>
      </w:pPr>
      <w:r w:rsidRPr="006A20C1">
        <w:rPr>
          <w:rFonts w:ascii="Times New Roman" w:hAnsi="Times New Roman"/>
          <w:color w:val="000000"/>
          <w:sz w:val="28"/>
          <w:szCs w:val="28"/>
          <w:lang w:val="kk-KZ"/>
        </w:rPr>
        <w:t xml:space="preserve">Жүкті әйелдерде лорноксикам қолдану жөнінде жеткілікті деректер алынған жоқ. Жануарларға жүргізілген зерттеулерде репродуктивтік функцияға уытты әсер </w:t>
      </w:r>
      <w:r w:rsidR="003D5DF3">
        <w:rPr>
          <w:rFonts w:ascii="Times New Roman" w:hAnsi="Times New Roman"/>
          <w:color w:val="000000"/>
          <w:sz w:val="28"/>
          <w:szCs w:val="28"/>
          <w:lang w:val="kk-KZ"/>
        </w:rPr>
        <w:t>анықталды</w:t>
      </w:r>
      <w:r w:rsidRPr="006A20C1">
        <w:rPr>
          <w:rFonts w:ascii="Times New Roman" w:hAnsi="Times New Roman"/>
          <w:sz w:val="28"/>
          <w:szCs w:val="28"/>
          <w:lang w:val="kk-KZ" w:eastAsia="ru-RU"/>
        </w:rPr>
        <w:t>.</w:t>
      </w:r>
    </w:p>
    <w:p w:rsidR="006A20C1" w:rsidRPr="006A20C1" w:rsidRDefault="006A20C1" w:rsidP="006A20C1">
      <w:pPr>
        <w:spacing w:after="0" w:line="240" w:lineRule="auto"/>
        <w:jc w:val="both"/>
        <w:rPr>
          <w:rFonts w:ascii="Times New Roman" w:hAnsi="Times New Roman"/>
          <w:color w:val="000000"/>
          <w:sz w:val="28"/>
          <w:szCs w:val="28"/>
          <w:lang w:val="kk-KZ"/>
        </w:rPr>
      </w:pPr>
      <w:r w:rsidRPr="006A20C1">
        <w:rPr>
          <w:rFonts w:ascii="Times New Roman" w:hAnsi="Times New Roman"/>
          <w:color w:val="000000"/>
          <w:sz w:val="28"/>
          <w:szCs w:val="28"/>
          <w:lang w:val="kk-KZ"/>
        </w:rPr>
        <w:t>Простагландин синтезін тежеу жүктілік және/немесе эмбриофетальді дамуға кері әсер етуі мүмкін. Эпидемиологиялық зерттеулер деректері жүктілік кезеңінде простагландин синтезінің тежегіштерін қолданғаннан кейін шаранада жүрек ақауларының даму және түсік тастау қаупінің жоғарылағанын көрсетеді. Дозаның ұлғаюымен және емдеу ұзақтығымен қауіп артады деп болжанады. Жануарларда простагландиндер синтезінің тежегіштерін енгізу имплантация алдындағы және имплантациядан кейінгі өлім жиілігінің жоғарылауына және эмбриофетальді өлім жағдайына әкеп соқтыратыны көрсетілген. Жүктіліктің бірінші және екінші триместрінде простагландиндер синтезінің тежегіштерін, тек  аса қажет болған жағдайда ғана қолдануға болады.</w:t>
      </w:r>
    </w:p>
    <w:p w:rsidR="006A20C1" w:rsidRPr="006A20C1" w:rsidRDefault="006A20C1" w:rsidP="006A20C1">
      <w:pPr>
        <w:spacing w:after="0" w:line="240" w:lineRule="auto"/>
        <w:jc w:val="both"/>
        <w:rPr>
          <w:rFonts w:ascii="Times New Roman" w:hAnsi="Times New Roman"/>
          <w:color w:val="000000"/>
          <w:sz w:val="28"/>
          <w:szCs w:val="28"/>
          <w:lang w:val="kk-KZ"/>
        </w:rPr>
      </w:pPr>
      <w:r w:rsidRPr="006A20C1">
        <w:rPr>
          <w:rFonts w:ascii="Times New Roman" w:hAnsi="Times New Roman"/>
          <w:color w:val="000000"/>
          <w:sz w:val="28"/>
          <w:szCs w:val="28"/>
          <w:lang w:val="kk-KZ"/>
        </w:rPr>
        <w:t>Жүктіліктің үшінші триместрінде простагландиндер синтезінің тежегіштерін қолдану шаранада кардиопульмональді уыттылықты (артериялық түтіктің уақытынан бұрын жабылуы және өкпе гипертензиясының дамуы) және бүйрек жеткіліксіздігіне дейін өршуі мүмкін бүйрек функциясының бұзылуын тудыруы мүмкін және қағанақ суы мөлшерінің азаюына әкелуі мүмкін. Простагландин синтезінің тежегіштерін босану алдындағы кезеңде қолдану босанудың кідіруіне немесе ұзаруына әкелуі ықтимал ана мен балада қанның ұю уақытын арттыруы және жатырдың жиырылуын бәсеңдету қаупіне ұшыратуы мүмкін. Сондықтан лорноксикамды жүктіліктің үшінші триместрінде қолдануға болмайды</w:t>
      </w:r>
      <w:r w:rsidRPr="006A20C1">
        <w:rPr>
          <w:rFonts w:ascii="Times New Roman" w:hAnsi="Times New Roman"/>
          <w:sz w:val="28"/>
          <w:szCs w:val="28"/>
          <w:lang w:val="kk-KZ" w:eastAsia="ru-RU"/>
        </w:rPr>
        <w:t>.</w:t>
      </w:r>
    </w:p>
    <w:p w:rsidR="006A20C1" w:rsidRPr="003D5DF3" w:rsidRDefault="006A20C1" w:rsidP="006A20C1">
      <w:pPr>
        <w:spacing w:after="0" w:line="240" w:lineRule="auto"/>
        <w:jc w:val="both"/>
        <w:rPr>
          <w:rFonts w:ascii="Times New Roman" w:hAnsi="Times New Roman"/>
          <w:i/>
          <w:color w:val="000000"/>
          <w:sz w:val="28"/>
          <w:szCs w:val="28"/>
          <w:lang w:val="kk-KZ"/>
        </w:rPr>
      </w:pPr>
      <w:r w:rsidRPr="003D5DF3">
        <w:rPr>
          <w:rFonts w:ascii="Times New Roman" w:hAnsi="Times New Roman"/>
          <w:i/>
          <w:color w:val="000000"/>
          <w:sz w:val="28"/>
          <w:szCs w:val="28"/>
          <w:lang w:val="kk-KZ"/>
        </w:rPr>
        <w:t>Е</w:t>
      </w:r>
      <w:r w:rsidR="000157FF">
        <w:rPr>
          <w:rFonts w:ascii="Times New Roman" w:hAnsi="Times New Roman"/>
          <w:i/>
          <w:color w:val="000000"/>
          <w:sz w:val="28"/>
          <w:szCs w:val="28"/>
          <w:lang w:val="kk-KZ"/>
        </w:rPr>
        <w:t>мшек е</w:t>
      </w:r>
      <w:r w:rsidRPr="003D5DF3">
        <w:rPr>
          <w:rFonts w:ascii="Times New Roman" w:hAnsi="Times New Roman"/>
          <w:i/>
          <w:color w:val="000000"/>
          <w:sz w:val="28"/>
          <w:szCs w:val="28"/>
          <w:lang w:val="kk-KZ"/>
        </w:rPr>
        <w:t>мізу</w:t>
      </w:r>
    </w:p>
    <w:p w:rsidR="006A20C1" w:rsidRDefault="006A20C1" w:rsidP="006A20C1">
      <w:pPr>
        <w:spacing w:after="0" w:line="240" w:lineRule="auto"/>
        <w:jc w:val="both"/>
        <w:rPr>
          <w:rFonts w:ascii="Times New Roman" w:hAnsi="Times New Roman"/>
          <w:color w:val="000000"/>
          <w:sz w:val="28"/>
          <w:szCs w:val="28"/>
          <w:lang w:val="kk-KZ"/>
        </w:rPr>
      </w:pPr>
      <w:r w:rsidRPr="003D5DF3">
        <w:rPr>
          <w:rFonts w:ascii="Times New Roman" w:hAnsi="Times New Roman"/>
          <w:color w:val="000000"/>
          <w:sz w:val="28"/>
          <w:szCs w:val="28"/>
          <w:lang w:val="kk-KZ"/>
        </w:rPr>
        <w:t>Лорноксикамның адам сүтіне енуі туралы деректер жоқ. Лорноксикам емізетін егеуқұйрық сүтіне салыстырмалы түрде жоғары концентрацияларда өтеді. Лорноксикам бала емізетін әйелдерде қолданылмауы тиіс.</w:t>
      </w:r>
    </w:p>
    <w:p w:rsidR="00093E86" w:rsidRPr="009927B7" w:rsidRDefault="00093E86" w:rsidP="00093E86">
      <w:pPr>
        <w:spacing w:after="0" w:line="240" w:lineRule="auto"/>
        <w:jc w:val="both"/>
        <w:rPr>
          <w:rFonts w:ascii="Times New Roman" w:hAnsi="Times New Roman"/>
          <w:i/>
          <w:strike/>
          <w:sz w:val="28"/>
          <w:szCs w:val="28"/>
          <w:lang w:val="kk-KZ" w:eastAsia="ru-RU"/>
        </w:rPr>
      </w:pPr>
      <w:r w:rsidRPr="009927B7">
        <w:rPr>
          <w:rFonts w:ascii="Times New Roman" w:hAnsi="Times New Roman"/>
          <w:i/>
          <w:sz w:val="28"/>
          <w:szCs w:val="28"/>
          <w:lang w:val="kk-KZ" w:eastAsia="ru-RU"/>
        </w:rPr>
        <w:t>Фертильділік</w:t>
      </w:r>
    </w:p>
    <w:p w:rsidR="00093E86" w:rsidRPr="00093E86" w:rsidRDefault="00093E86" w:rsidP="006A20C1">
      <w:pPr>
        <w:spacing w:after="0" w:line="240" w:lineRule="auto"/>
        <w:jc w:val="both"/>
        <w:rPr>
          <w:rFonts w:ascii="Times New Roman" w:hAnsi="Times New Roman"/>
          <w:sz w:val="28"/>
          <w:szCs w:val="28"/>
          <w:lang w:val="kk-KZ" w:eastAsia="ru-RU"/>
        </w:rPr>
      </w:pPr>
      <w:r w:rsidRPr="009927B7">
        <w:rPr>
          <w:rFonts w:ascii="Times New Roman" w:hAnsi="Times New Roman"/>
          <w:sz w:val="28"/>
          <w:szCs w:val="28"/>
          <w:lang w:val="kk-KZ" w:eastAsia="ru-RU"/>
        </w:rPr>
        <w:t>Лорноксикамды қабылдау</w:t>
      </w:r>
      <w:r>
        <w:rPr>
          <w:rFonts w:ascii="Times New Roman" w:hAnsi="Times New Roman"/>
          <w:sz w:val="28"/>
          <w:szCs w:val="28"/>
          <w:lang w:val="kk-KZ" w:eastAsia="ru-RU"/>
        </w:rPr>
        <w:t xml:space="preserve">, </w:t>
      </w:r>
      <w:r w:rsidRPr="009927B7">
        <w:rPr>
          <w:rFonts w:ascii="Times New Roman" w:hAnsi="Times New Roman"/>
          <w:sz w:val="28"/>
          <w:szCs w:val="28"/>
          <w:lang w:val="kk-KZ" w:eastAsia="ru-RU"/>
        </w:rPr>
        <w:t xml:space="preserve">циклооксигеназа/простагландиндер синтезін </w:t>
      </w:r>
      <w:r>
        <w:rPr>
          <w:rFonts w:ascii="Times New Roman" w:hAnsi="Times New Roman"/>
          <w:sz w:val="28"/>
          <w:szCs w:val="28"/>
          <w:lang w:val="kk-KZ" w:eastAsia="ru-RU"/>
        </w:rPr>
        <w:t xml:space="preserve">айтарлықтай </w:t>
      </w:r>
      <w:r w:rsidRPr="009927B7">
        <w:rPr>
          <w:rFonts w:ascii="Times New Roman" w:hAnsi="Times New Roman"/>
          <w:sz w:val="28"/>
          <w:szCs w:val="28"/>
          <w:lang w:val="kk-KZ" w:eastAsia="ru-RU"/>
        </w:rPr>
        <w:t xml:space="preserve">тежейтін кез келген басқа </w:t>
      </w:r>
      <w:r>
        <w:rPr>
          <w:rFonts w:ascii="Times New Roman" w:hAnsi="Times New Roman"/>
          <w:sz w:val="28"/>
          <w:szCs w:val="28"/>
          <w:lang w:val="kk-KZ" w:eastAsia="ru-RU"/>
        </w:rPr>
        <w:t>препараттар</w:t>
      </w:r>
      <w:r w:rsidRPr="009927B7">
        <w:rPr>
          <w:rFonts w:ascii="Times New Roman" w:hAnsi="Times New Roman"/>
          <w:sz w:val="28"/>
          <w:szCs w:val="28"/>
          <w:lang w:val="kk-KZ" w:eastAsia="ru-RU"/>
        </w:rPr>
        <w:t xml:space="preserve"> секілді </w:t>
      </w:r>
      <w:r>
        <w:rPr>
          <w:rFonts w:ascii="Times New Roman" w:hAnsi="Times New Roman"/>
          <w:sz w:val="28"/>
          <w:szCs w:val="28"/>
          <w:lang w:val="kk-KZ" w:eastAsia="ru-RU"/>
        </w:rPr>
        <w:t xml:space="preserve">репродуктивті </w:t>
      </w:r>
      <w:r>
        <w:rPr>
          <w:rFonts w:ascii="Times New Roman" w:hAnsi="Times New Roman"/>
          <w:sz w:val="28"/>
          <w:szCs w:val="28"/>
          <w:lang w:val="kk-KZ" w:eastAsia="ru-RU"/>
        </w:rPr>
        <w:lastRenderedPageBreak/>
        <w:t>функцияға</w:t>
      </w:r>
      <w:r w:rsidRPr="009927B7">
        <w:rPr>
          <w:rFonts w:ascii="Times New Roman" w:hAnsi="Times New Roman"/>
          <w:sz w:val="28"/>
          <w:szCs w:val="28"/>
          <w:lang w:val="kk-KZ" w:eastAsia="ru-RU"/>
        </w:rPr>
        <w:t xml:space="preserve"> теріс әсер етуі мүмкін, сондықтан ол жүктілікті жоспарлайтын әйелдерге ұсынылмайды. Жүкті бола алмай жүрген немесе бедеулікке байланысты тексеруден өтетін әйелдерге қатысты лорноксикамды тоқта</w:t>
      </w:r>
      <w:r>
        <w:rPr>
          <w:rFonts w:ascii="Times New Roman" w:hAnsi="Times New Roman"/>
          <w:sz w:val="28"/>
          <w:szCs w:val="28"/>
          <w:lang w:val="kk-KZ" w:eastAsia="ru-RU"/>
        </w:rPr>
        <w:t>ту мүмкіндігін қарастыру керек</w:t>
      </w:r>
      <w:r w:rsidRPr="009927B7">
        <w:rPr>
          <w:rFonts w:ascii="Times New Roman" w:hAnsi="Times New Roman"/>
          <w:sz w:val="28"/>
          <w:szCs w:val="28"/>
          <w:lang w:val="kk-KZ" w:eastAsia="ru-RU"/>
        </w:rPr>
        <w:t>.</w:t>
      </w:r>
    </w:p>
    <w:p w:rsidR="00456BA0" w:rsidRPr="002301E0" w:rsidRDefault="00456BA0" w:rsidP="00FA47DB">
      <w:pPr>
        <w:spacing w:after="0" w:line="240" w:lineRule="auto"/>
        <w:jc w:val="both"/>
        <w:rPr>
          <w:rFonts w:ascii="Times New Roman" w:eastAsia="Times New Roman" w:hAnsi="Times New Roman"/>
          <w:i/>
          <w:sz w:val="28"/>
          <w:szCs w:val="28"/>
          <w:lang w:val="kk-KZ"/>
        </w:rPr>
      </w:pPr>
      <w:r w:rsidRPr="002301E0">
        <w:rPr>
          <w:rFonts w:ascii="Times New Roman" w:eastAsia="Times New Roman" w:hAnsi="Times New Roman"/>
          <w:i/>
          <w:sz w:val="28"/>
          <w:szCs w:val="28"/>
          <w:lang w:val="kk-KZ"/>
        </w:rPr>
        <w:t>Препараттың көлік құралын немесе қауіптілігі зор механизмдерді басқару қабілетіне әсер ету ерекшеліктері</w:t>
      </w:r>
    </w:p>
    <w:p w:rsidR="00456BA0" w:rsidRDefault="003D5DF3" w:rsidP="00FA47DB">
      <w:pPr>
        <w:spacing w:after="0" w:line="240" w:lineRule="auto"/>
        <w:jc w:val="both"/>
        <w:rPr>
          <w:rFonts w:ascii="Times New Roman" w:hAnsi="Times New Roman"/>
          <w:color w:val="000000"/>
          <w:sz w:val="28"/>
          <w:szCs w:val="28"/>
          <w:lang w:val="kk-KZ"/>
        </w:rPr>
      </w:pPr>
      <w:r w:rsidRPr="003D5DF3">
        <w:rPr>
          <w:rFonts w:ascii="Times New Roman" w:hAnsi="Times New Roman"/>
          <w:color w:val="000000"/>
          <w:sz w:val="28"/>
          <w:szCs w:val="28"/>
          <w:lang w:val="kk-KZ"/>
        </w:rPr>
        <w:t>Лорноксикам препаратымен емделу кезінде бас айналуы және/немесе ұйқышылдық туындаған пациенттерге көлік құралын және басқа механизмдерді басқарудан бас тарту керек</w:t>
      </w:r>
      <w:r>
        <w:rPr>
          <w:rFonts w:ascii="Times New Roman" w:hAnsi="Times New Roman"/>
          <w:color w:val="000000"/>
          <w:sz w:val="28"/>
          <w:szCs w:val="28"/>
          <w:lang w:val="kk-KZ"/>
        </w:rPr>
        <w:t>.</w:t>
      </w:r>
    </w:p>
    <w:p w:rsidR="003D5DF3" w:rsidRPr="003D5DF3" w:rsidRDefault="003D5DF3" w:rsidP="00FA47DB">
      <w:pPr>
        <w:spacing w:after="0" w:line="240" w:lineRule="auto"/>
        <w:jc w:val="both"/>
        <w:rPr>
          <w:rFonts w:ascii="Times New Roman" w:hAnsi="Times New Roman"/>
          <w:color w:val="000000"/>
          <w:sz w:val="28"/>
          <w:szCs w:val="28"/>
          <w:lang w:val="kk-KZ"/>
        </w:rPr>
      </w:pP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bookmarkStart w:id="2" w:name="2175220278"/>
      <w:bookmarkEnd w:id="2"/>
      <w:r w:rsidRPr="002301E0">
        <w:rPr>
          <w:rFonts w:ascii="Times New Roman" w:eastAsia="Times New Roman" w:hAnsi="Times New Roman"/>
          <w:b/>
          <w:sz w:val="28"/>
          <w:szCs w:val="28"/>
          <w:lang w:val="kk-KZ" w:eastAsia="ru-RU"/>
        </w:rPr>
        <w:t>Қолдану жөніндегі нұсқаулар</w:t>
      </w: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bookmarkStart w:id="3" w:name="2175220282"/>
      <w:bookmarkEnd w:id="3"/>
      <w:r w:rsidRPr="002301E0">
        <w:rPr>
          <w:rFonts w:ascii="Times New Roman" w:eastAsia="Times New Roman" w:hAnsi="Times New Roman"/>
          <w:b/>
          <w:sz w:val="28"/>
          <w:szCs w:val="28"/>
          <w:lang w:val="kk-KZ" w:eastAsia="ru-RU"/>
        </w:rPr>
        <w:t xml:space="preserve">Дозалау режимі </w:t>
      </w:r>
    </w:p>
    <w:p w:rsidR="00456BA0" w:rsidRPr="00A15AD6" w:rsidRDefault="00A15AD6" w:rsidP="00FA47DB">
      <w:pPr>
        <w:spacing w:after="0" w:line="240" w:lineRule="auto"/>
        <w:jc w:val="both"/>
        <w:rPr>
          <w:rFonts w:ascii="Times New Roman" w:eastAsia="Times New Roman" w:hAnsi="Times New Roman"/>
          <w:sz w:val="28"/>
          <w:szCs w:val="28"/>
          <w:lang w:val="kk-KZ" w:eastAsia="ru-RU"/>
        </w:rPr>
      </w:pPr>
      <w:r w:rsidRPr="00A15AD6">
        <w:rPr>
          <w:rFonts w:ascii="Times New Roman" w:eastAsia="Times New Roman" w:hAnsi="Times New Roman"/>
          <w:sz w:val="28"/>
          <w:szCs w:val="28"/>
          <w:lang w:val="kk-KZ" w:eastAsia="ru-RU"/>
        </w:rPr>
        <w:t>Барлық пациенттер үшін дозалау режимі емдеуге жеке жауап негізінде таңдалуы керек. Жағымсыз әсерлердің пайда болу қаупін симптомдарды бақылау үшін қажет болатын ең аз қысқа курс ішінде ең төменгі тиімді дозаларды қолдану арқылы азайтуға болады</w:t>
      </w:r>
      <w:r w:rsidR="00456BA0" w:rsidRPr="00A15AD6">
        <w:rPr>
          <w:rFonts w:ascii="Times New Roman" w:eastAsia="Times New Roman" w:hAnsi="Times New Roman"/>
          <w:sz w:val="28"/>
          <w:szCs w:val="28"/>
          <w:lang w:val="kk-KZ" w:eastAsia="ru-RU"/>
        </w:rPr>
        <w:t>.</w:t>
      </w:r>
    </w:p>
    <w:p w:rsidR="00A15AD6" w:rsidRPr="00A15AD6" w:rsidRDefault="00A15AD6" w:rsidP="00A15AD6">
      <w:pPr>
        <w:spacing w:after="0" w:line="240" w:lineRule="auto"/>
        <w:jc w:val="both"/>
        <w:rPr>
          <w:rFonts w:ascii="Times New Roman" w:hAnsi="Times New Roman"/>
          <w:sz w:val="28"/>
          <w:szCs w:val="28"/>
          <w:u w:val="single"/>
          <w:lang w:val="kk-KZ" w:eastAsia="ru-RU"/>
        </w:rPr>
      </w:pPr>
      <w:r w:rsidRPr="00A15AD6">
        <w:rPr>
          <w:rFonts w:ascii="Times New Roman" w:hAnsi="Times New Roman"/>
          <w:sz w:val="28"/>
          <w:szCs w:val="28"/>
          <w:u w:val="single"/>
          <w:lang w:val="kk-KZ" w:eastAsia="ru-RU"/>
        </w:rPr>
        <w:t>Ауырсыну синдромы</w:t>
      </w:r>
    </w:p>
    <w:p w:rsidR="00A15AD6" w:rsidRPr="00A15AD6" w:rsidRDefault="00A15AD6" w:rsidP="00A15AD6">
      <w:pPr>
        <w:spacing w:after="0" w:line="240" w:lineRule="auto"/>
        <w:jc w:val="both"/>
        <w:rPr>
          <w:rFonts w:ascii="Times New Roman" w:hAnsi="Times New Roman"/>
          <w:sz w:val="28"/>
          <w:szCs w:val="28"/>
          <w:lang w:val="kk-KZ" w:eastAsia="ru-RU"/>
        </w:rPr>
      </w:pPr>
      <w:r w:rsidRPr="00A15AD6">
        <w:rPr>
          <w:rFonts w:ascii="Times New Roman" w:hAnsi="Times New Roman"/>
          <w:sz w:val="28"/>
          <w:szCs w:val="28"/>
          <w:lang w:val="kk-KZ" w:eastAsia="ru-RU"/>
        </w:rPr>
        <w:t>Лорноксикамның тәуліктік дозасы 2-3 қабылдауға бөлінген 8-16 мг құрайды.</w:t>
      </w:r>
    </w:p>
    <w:p w:rsidR="00A15AD6" w:rsidRPr="00A15AD6" w:rsidRDefault="00A15AD6" w:rsidP="00A15AD6">
      <w:pPr>
        <w:spacing w:after="0" w:line="240" w:lineRule="auto"/>
        <w:jc w:val="both"/>
        <w:rPr>
          <w:rFonts w:ascii="Times New Roman" w:hAnsi="Times New Roman"/>
          <w:sz w:val="28"/>
          <w:szCs w:val="28"/>
          <w:lang w:val="kk-KZ" w:eastAsia="ru-RU"/>
        </w:rPr>
      </w:pPr>
      <w:r w:rsidRPr="00A15AD6">
        <w:rPr>
          <w:rFonts w:ascii="Times New Roman" w:hAnsi="Times New Roman"/>
          <w:sz w:val="28"/>
          <w:szCs w:val="28"/>
          <w:lang w:val="kk-KZ" w:eastAsia="ru-RU"/>
        </w:rPr>
        <w:t>Ұсынылатын ең жоғары тәуліктік доза-16 мг.</w:t>
      </w:r>
    </w:p>
    <w:p w:rsidR="00A15AD6" w:rsidRPr="00A15AD6" w:rsidRDefault="00A15AD6" w:rsidP="00A15AD6">
      <w:pPr>
        <w:spacing w:after="0" w:line="240" w:lineRule="auto"/>
        <w:jc w:val="both"/>
        <w:rPr>
          <w:rFonts w:ascii="Times New Roman" w:hAnsi="Times New Roman"/>
          <w:sz w:val="28"/>
          <w:szCs w:val="28"/>
          <w:u w:val="single"/>
          <w:lang w:val="kk-KZ" w:eastAsia="ru-RU"/>
        </w:rPr>
      </w:pPr>
      <w:r w:rsidRPr="00A15AD6">
        <w:rPr>
          <w:rFonts w:ascii="Times New Roman" w:hAnsi="Times New Roman"/>
          <w:sz w:val="28"/>
          <w:szCs w:val="28"/>
          <w:u w:val="single"/>
          <w:lang w:val="kk-KZ" w:eastAsia="ru-RU"/>
        </w:rPr>
        <w:t>Остеоартрит және ревматоидты артрит</w:t>
      </w:r>
    </w:p>
    <w:p w:rsidR="00A15AD6" w:rsidRPr="00A15AD6" w:rsidRDefault="00A15AD6" w:rsidP="00A15AD6">
      <w:pPr>
        <w:spacing w:after="0" w:line="240" w:lineRule="auto"/>
        <w:jc w:val="both"/>
        <w:rPr>
          <w:rFonts w:ascii="Times New Roman" w:hAnsi="Times New Roman"/>
          <w:sz w:val="28"/>
          <w:szCs w:val="28"/>
          <w:lang w:val="kk-KZ" w:eastAsia="ru-RU"/>
        </w:rPr>
      </w:pPr>
      <w:r w:rsidRPr="00A15AD6">
        <w:rPr>
          <w:rFonts w:ascii="Times New Roman" w:hAnsi="Times New Roman"/>
          <w:sz w:val="28"/>
          <w:szCs w:val="28"/>
          <w:lang w:val="kk-KZ" w:eastAsia="ru-RU"/>
        </w:rPr>
        <w:t>Ұсынылатын бастапқы тәуліктік доза 2-3 қабылдауға бөлінген 12 мг лорноксикамды құрайды. Демеуші доза тәулігіне 16 мг лорноксикамнан аспауы керек.</w:t>
      </w:r>
    </w:p>
    <w:p w:rsidR="00A15AD6" w:rsidRPr="00A15AD6" w:rsidRDefault="00A15AD6" w:rsidP="00A15AD6">
      <w:pPr>
        <w:spacing w:after="0" w:line="240" w:lineRule="auto"/>
        <w:jc w:val="both"/>
        <w:rPr>
          <w:rFonts w:ascii="Times New Roman" w:hAnsi="Times New Roman"/>
          <w:b/>
          <w:sz w:val="28"/>
          <w:szCs w:val="28"/>
          <w:lang w:val="kk-KZ" w:eastAsia="ru-RU"/>
        </w:rPr>
      </w:pPr>
      <w:r w:rsidRPr="00A15AD6">
        <w:rPr>
          <w:rFonts w:ascii="Times New Roman" w:hAnsi="Times New Roman"/>
          <w:b/>
          <w:sz w:val="28"/>
          <w:szCs w:val="28"/>
          <w:lang w:val="kk-KZ" w:eastAsia="ru-RU"/>
        </w:rPr>
        <w:t>Пациенттердің ерекше топтары</w:t>
      </w:r>
    </w:p>
    <w:p w:rsidR="00A15AD6" w:rsidRPr="00A15AD6" w:rsidRDefault="00A15AD6" w:rsidP="00A15AD6">
      <w:pPr>
        <w:spacing w:after="0" w:line="240" w:lineRule="auto"/>
        <w:jc w:val="both"/>
        <w:rPr>
          <w:rFonts w:ascii="Times New Roman" w:hAnsi="Times New Roman"/>
          <w:i/>
          <w:sz w:val="28"/>
          <w:szCs w:val="28"/>
          <w:lang w:val="kk-KZ"/>
        </w:rPr>
      </w:pPr>
      <w:bookmarkStart w:id="4" w:name="bookmark18"/>
      <w:r w:rsidRPr="00A15AD6">
        <w:rPr>
          <w:rFonts w:ascii="Times New Roman" w:hAnsi="Times New Roman"/>
          <w:i/>
          <w:sz w:val="28"/>
          <w:szCs w:val="28"/>
          <w:lang w:val="kk-KZ"/>
        </w:rPr>
        <w:t xml:space="preserve">Балалар </w:t>
      </w:r>
    </w:p>
    <w:p w:rsidR="00A15AD6" w:rsidRPr="00A15AD6" w:rsidRDefault="00A15AD6" w:rsidP="00A15AD6">
      <w:pPr>
        <w:spacing w:after="0" w:line="240" w:lineRule="auto"/>
        <w:jc w:val="both"/>
        <w:rPr>
          <w:rFonts w:ascii="Times New Roman" w:hAnsi="Times New Roman"/>
          <w:sz w:val="28"/>
          <w:szCs w:val="28"/>
          <w:lang w:val="kk-KZ"/>
        </w:rPr>
      </w:pPr>
      <w:r w:rsidRPr="00A15AD6">
        <w:rPr>
          <w:rFonts w:ascii="Times New Roman" w:hAnsi="Times New Roman"/>
          <w:sz w:val="28"/>
          <w:szCs w:val="28"/>
          <w:lang w:val="kk-KZ"/>
        </w:rPr>
        <w:t>Қауіпсіздік және тиімділік туралы деректердің болмауына байланысты лорноксикам балалар мен 18 жасқа дейінгі жасөспірімдерде қолдануға ұсынылмайды.</w:t>
      </w:r>
    </w:p>
    <w:p w:rsidR="00A15AD6" w:rsidRPr="00A15AD6" w:rsidRDefault="00A15AD6" w:rsidP="00A15AD6">
      <w:pPr>
        <w:spacing w:after="0" w:line="240" w:lineRule="auto"/>
        <w:jc w:val="both"/>
        <w:rPr>
          <w:rFonts w:ascii="Times New Roman" w:hAnsi="Times New Roman"/>
          <w:bCs/>
          <w:i/>
          <w:sz w:val="28"/>
          <w:szCs w:val="28"/>
          <w:lang w:val="kk-KZ"/>
        </w:rPr>
      </w:pPr>
      <w:r w:rsidRPr="00A15AD6">
        <w:rPr>
          <w:rFonts w:ascii="Times New Roman" w:hAnsi="Times New Roman"/>
          <w:bCs/>
          <w:i/>
          <w:sz w:val="28"/>
          <w:szCs w:val="28"/>
          <w:lang w:val="kk-KZ"/>
        </w:rPr>
        <w:t>Егде жастағы пациенттер</w:t>
      </w:r>
    </w:p>
    <w:p w:rsidR="00A15AD6" w:rsidRPr="00A15AD6" w:rsidRDefault="00A15AD6" w:rsidP="00A15AD6">
      <w:pPr>
        <w:spacing w:after="0" w:line="240" w:lineRule="auto"/>
        <w:jc w:val="both"/>
        <w:rPr>
          <w:rFonts w:ascii="Times New Roman" w:hAnsi="Times New Roman"/>
          <w:kern w:val="2"/>
          <w:sz w:val="28"/>
          <w:szCs w:val="28"/>
          <w:lang w:val="kk-KZ"/>
        </w:rPr>
      </w:pPr>
      <w:bookmarkStart w:id="5" w:name="bookmark19"/>
      <w:bookmarkEnd w:id="4"/>
      <w:r w:rsidRPr="00A15AD6">
        <w:rPr>
          <w:rFonts w:ascii="Times New Roman" w:hAnsi="Times New Roman"/>
          <w:kern w:val="2"/>
          <w:sz w:val="28"/>
          <w:szCs w:val="28"/>
          <w:lang w:val="kk-KZ"/>
        </w:rPr>
        <w:t xml:space="preserve">65 жастан асқан егде жастағы пациенттер үшін бүйрек немесе бауыр функциясының бұзылу жағдайларын қоспағанда, арнайы дозаны түзету қажет болмайды. Пациенттердің бұл тобы асқазан-ішек жолдары тарапынан жағымсыз реакцияларды ауыр өткергендіктен лорноксикам препаратын сақтықпен тағайындау </w:t>
      </w:r>
      <w:r>
        <w:rPr>
          <w:rFonts w:ascii="Times New Roman" w:hAnsi="Times New Roman"/>
          <w:kern w:val="2"/>
          <w:sz w:val="28"/>
          <w:szCs w:val="28"/>
          <w:lang w:val="kk-KZ"/>
        </w:rPr>
        <w:t>керек</w:t>
      </w:r>
      <w:r w:rsidRPr="00A15AD6">
        <w:rPr>
          <w:rFonts w:ascii="Times New Roman" w:hAnsi="Times New Roman"/>
          <w:kern w:val="2"/>
          <w:sz w:val="28"/>
          <w:szCs w:val="28"/>
          <w:lang w:val="kk-KZ"/>
        </w:rPr>
        <w:t>.</w:t>
      </w:r>
    </w:p>
    <w:p w:rsidR="00A15AD6" w:rsidRPr="00A15AD6" w:rsidRDefault="00A15AD6" w:rsidP="00A15AD6">
      <w:pPr>
        <w:spacing w:after="0" w:line="240" w:lineRule="auto"/>
        <w:jc w:val="both"/>
        <w:rPr>
          <w:rFonts w:ascii="Times New Roman" w:hAnsi="Times New Roman"/>
          <w:bCs/>
          <w:i/>
          <w:sz w:val="28"/>
          <w:szCs w:val="28"/>
          <w:lang w:val="kk-KZ"/>
        </w:rPr>
      </w:pPr>
      <w:r w:rsidRPr="00A15AD6">
        <w:rPr>
          <w:rFonts w:ascii="Times New Roman" w:hAnsi="Times New Roman"/>
          <w:bCs/>
          <w:i/>
          <w:sz w:val="28"/>
          <w:szCs w:val="28"/>
          <w:lang w:val="kk-KZ"/>
        </w:rPr>
        <w:t>Бауыр жеткіліксіздігі бар пациенттер</w:t>
      </w:r>
    </w:p>
    <w:p w:rsidR="00A15AD6" w:rsidRPr="00A15AD6" w:rsidRDefault="00A15AD6" w:rsidP="00A15AD6">
      <w:pPr>
        <w:suppressAutoHyphens/>
        <w:spacing w:after="0" w:line="240" w:lineRule="auto"/>
        <w:ind w:right="-2"/>
        <w:jc w:val="both"/>
        <w:rPr>
          <w:rFonts w:ascii="Times New Roman" w:hAnsi="Times New Roman"/>
          <w:sz w:val="28"/>
          <w:szCs w:val="28"/>
          <w:lang w:val="kk-KZ" w:eastAsia="ru-RU"/>
        </w:rPr>
      </w:pPr>
      <w:r w:rsidRPr="00A15AD6">
        <w:rPr>
          <w:rFonts w:ascii="Times New Roman" w:hAnsi="Times New Roman"/>
          <w:sz w:val="28"/>
          <w:szCs w:val="28"/>
          <w:lang w:val="kk-KZ" w:eastAsia="ru-RU"/>
        </w:rPr>
        <w:t>Бауыр функциясы жеңіл және орташа дәрежеде бұзылған пациенттер үшін ұсынылатын ең жоғары доза 2-3 қабылдауға бөлінген 12 мг құрайды. Ауыр дәрежелі бүйрек функциясы бұзылған пациенттер  үшін лорноксикам қарсы көрсетімді.</w:t>
      </w:r>
    </w:p>
    <w:p w:rsidR="00A15AD6" w:rsidRPr="00A15AD6" w:rsidRDefault="00A15AD6" w:rsidP="00A15AD6">
      <w:pPr>
        <w:spacing w:after="0" w:line="240" w:lineRule="auto"/>
        <w:jc w:val="both"/>
        <w:rPr>
          <w:rFonts w:ascii="Times New Roman" w:hAnsi="Times New Roman"/>
          <w:bCs/>
          <w:i/>
          <w:sz w:val="28"/>
          <w:szCs w:val="28"/>
          <w:lang w:val="kk-KZ"/>
        </w:rPr>
      </w:pPr>
      <w:r w:rsidRPr="00A15AD6">
        <w:rPr>
          <w:rFonts w:ascii="Times New Roman" w:hAnsi="Times New Roman"/>
          <w:bCs/>
          <w:i/>
          <w:sz w:val="28"/>
          <w:szCs w:val="28"/>
          <w:lang w:val="kk-KZ"/>
        </w:rPr>
        <w:t>Бүйрек жеткіліксіздігі бар пациенттер</w:t>
      </w:r>
    </w:p>
    <w:bookmarkEnd w:id="5"/>
    <w:p w:rsidR="00A15AD6" w:rsidRPr="00A15AD6" w:rsidRDefault="00A15AD6" w:rsidP="00A15AD6">
      <w:pPr>
        <w:suppressAutoHyphens/>
        <w:spacing w:after="0" w:line="240" w:lineRule="auto"/>
        <w:ind w:right="-2"/>
        <w:jc w:val="both"/>
        <w:rPr>
          <w:rFonts w:ascii="Times New Roman" w:hAnsi="Times New Roman"/>
          <w:sz w:val="28"/>
          <w:szCs w:val="28"/>
          <w:lang w:val="kk-KZ" w:eastAsia="ru-RU"/>
        </w:rPr>
      </w:pPr>
      <w:r w:rsidRPr="00A15AD6">
        <w:rPr>
          <w:rFonts w:ascii="Times New Roman" w:hAnsi="Times New Roman"/>
          <w:sz w:val="28"/>
          <w:szCs w:val="28"/>
          <w:lang w:val="kk-KZ" w:eastAsia="ru-RU"/>
        </w:rPr>
        <w:t>Бүйрек функциясы жеңіл және орташа дәрежеде бұзылған пациенттер үшін ұсынылатын ең жоғары доза 2-3 қабылдауға бөлінген 12 мг құрайды. Ауыр дәрежелі бүйрек функциясы бұзылған пациенттер  үшін лорноксикам қарсы көрсетімді.</w:t>
      </w:r>
    </w:p>
    <w:p w:rsidR="00456BA0" w:rsidRPr="002301E0" w:rsidRDefault="00456BA0" w:rsidP="00FA47DB">
      <w:pPr>
        <w:spacing w:after="0" w:line="240" w:lineRule="auto"/>
        <w:jc w:val="both"/>
        <w:rPr>
          <w:rFonts w:ascii="Times New Roman" w:eastAsia="Times New Roman" w:hAnsi="Times New Roman"/>
          <w:b/>
          <w:i/>
          <w:sz w:val="28"/>
          <w:szCs w:val="28"/>
          <w:lang w:val="kk-KZ"/>
        </w:rPr>
      </w:pPr>
      <w:r w:rsidRPr="002301E0">
        <w:rPr>
          <w:rFonts w:ascii="Times New Roman" w:eastAsia="Times New Roman" w:hAnsi="Times New Roman"/>
          <w:b/>
          <w:i/>
          <w:sz w:val="28"/>
          <w:szCs w:val="28"/>
          <w:lang w:val="kk-KZ"/>
        </w:rPr>
        <w:lastRenderedPageBreak/>
        <w:t xml:space="preserve">Енгізу әдісі мен жолы </w:t>
      </w:r>
    </w:p>
    <w:p w:rsidR="00A15AD6" w:rsidRPr="00A15AD6" w:rsidRDefault="00A15AD6" w:rsidP="00A15AD6">
      <w:pPr>
        <w:spacing w:after="0" w:line="240" w:lineRule="auto"/>
        <w:jc w:val="both"/>
        <w:rPr>
          <w:rFonts w:ascii="Times New Roman" w:hAnsi="Times New Roman"/>
          <w:b/>
          <w:sz w:val="28"/>
          <w:szCs w:val="28"/>
          <w:lang w:val="kk-KZ"/>
        </w:rPr>
      </w:pPr>
      <w:r w:rsidRPr="00A15AD6">
        <w:rPr>
          <w:rFonts w:ascii="Times New Roman" w:hAnsi="Times New Roman"/>
          <w:bCs/>
          <w:sz w:val="28"/>
          <w:szCs w:val="28"/>
          <w:lang w:val="kk-KZ"/>
        </w:rPr>
        <w:t>Лорноксикам Вива Фарм</w:t>
      </w:r>
      <w:r w:rsidRPr="00A15AD6">
        <w:rPr>
          <w:rFonts w:ascii="Times New Roman" w:hAnsi="Times New Roman"/>
          <w:sz w:val="28"/>
          <w:szCs w:val="28"/>
          <w:lang w:val="kk-KZ"/>
        </w:rPr>
        <w:t xml:space="preserve"> таблекалары ішке қабылдауға арналған және оларды жеткілікті сұйықтықпен ішу арқылы қабылдау керек. </w:t>
      </w:r>
    </w:p>
    <w:p w:rsidR="00456BA0" w:rsidRPr="002301E0" w:rsidRDefault="00456BA0" w:rsidP="00FA47DB">
      <w:pPr>
        <w:spacing w:after="0" w:line="240" w:lineRule="auto"/>
        <w:jc w:val="both"/>
        <w:rPr>
          <w:rFonts w:ascii="Times New Roman" w:eastAsia="Times New Roman" w:hAnsi="Times New Roman"/>
          <w:b/>
          <w:i/>
          <w:sz w:val="28"/>
          <w:szCs w:val="28"/>
          <w:lang w:val="kk-KZ" w:eastAsia="ru-RU"/>
        </w:rPr>
      </w:pPr>
      <w:r w:rsidRPr="002301E0">
        <w:rPr>
          <w:rFonts w:ascii="Times New Roman" w:eastAsia="Times New Roman" w:hAnsi="Times New Roman"/>
          <w:b/>
          <w:i/>
          <w:sz w:val="28"/>
          <w:szCs w:val="28"/>
          <w:lang w:val="kk-KZ" w:eastAsia="ru-RU"/>
        </w:rPr>
        <w:t xml:space="preserve">Артық дозалану жағдайында қабылдануы қажетті шаралар </w:t>
      </w:r>
    </w:p>
    <w:p w:rsidR="00A15AD6" w:rsidRPr="00A15AD6" w:rsidRDefault="00A15AD6" w:rsidP="00A15AD6">
      <w:pPr>
        <w:spacing w:after="0" w:line="240" w:lineRule="auto"/>
        <w:jc w:val="both"/>
        <w:rPr>
          <w:rFonts w:ascii="Times New Roman" w:hAnsi="Times New Roman"/>
          <w:color w:val="000000"/>
          <w:sz w:val="28"/>
          <w:szCs w:val="28"/>
          <w:lang w:val="kk-KZ"/>
        </w:rPr>
      </w:pPr>
      <w:r w:rsidRPr="00A15AD6">
        <w:rPr>
          <w:rFonts w:ascii="Times New Roman" w:hAnsi="Times New Roman"/>
          <w:color w:val="000000"/>
          <w:sz w:val="28"/>
          <w:szCs w:val="28"/>
          <w:lang w:val="kk-KZ"/>
        </w:rPr>
        <w:t>Қазіргі уақытта артық дозалану салдарын сипаттау немесе терапияның арнайы дәрілерін ұсыну үшін лорноксикамның жедел артық дозалануы туралы мәліметтер жоқ. Алайда, лорноксикамның артық дозалануы кезінде келесі симптомдар байқалуы мүмкін: жүрек айну, құсу, церебральды симтомдар (бас айналу, көру қабілетінің бұзылуы). Кома мен құрысуларға дейінгі атаксия, бауыр мен бүйректің зақымдануы және коагуляцияның бұзылуы секілді ауыр симптомдар да пайда болуы мүмкін.</w:t>
      </w:r>
    </w:p>
    <w:p w:rsidR="00A15AD6" w:rsidRPr="00A15AD6" w:rsidRDefault="00A15AD6" w:rsidP="00A15AD6">
      <w:pPr>
        <w:spacing w:after="0" w:line="240" w:lineRule="auto"/>
        <w:jc w:val="both"/>
        <w:rPr>
          <w:rFonts w:ascii="Times New Roman" w:hAnsi="Times New Roman"/>
          <w:color w:val="000000"/>
          <w:sz w:val="28"/>
          <w:szCs w:val="28"/>
          <w:lang w:val="kk-KZ"/>
        </w:rPr>
      </w:pPr>
      <w:r w:rsidRPr="00A15AD6">
        <w:rPr>
          <w:rFonts w:ascii="Times New Roman" w:hAnsi="Times New Roman"/>
          <w:color w:val="000000"/>
          <w:sz w:val="28"/>
          <w:szCs w:val="28"/>
          <w:lang w:val="kk-KZ"/>
        </w:rPr>
        <w:t>Нақты немесе болжамды дозаланғанда препаратты тоқтату керек. Лорноксикам қысқа жартылай шығарылу кезеңінің арқасында организмнен тез шығарылады. Лорноксикам диализ арқылы шығарылмайды. Спецификалық антидот әлі белгісіз. Асқазанды шаюды қоса алғанда, әдеттегі шұғыл шараларды қамтамасыз ету қажет. Жалпы принциптерге сүйене отырып, белсендірілген көмірді лорноксикамды қабылдағаннан кейін бірден қабылдаған жағдайда ғана қолдану препараттың сіңуінің төмендеуіне әкелуі мүмкін. Асқазан-ішек жолы тарапынан бұзылуларды мысалы, простагландин аналогтарымен немесе ранитидинмен емдеуге болады.</w:t>
      </w:r>
    </w:p>
    <w:p w:rsidR="00D73A01" w:rsidRPr="00825E26" w:rsidRDefault="00D73A01" w:rsidP="00D73A01">
      <w:pPr>
        <w:spacing w:after="0" w:line="240" w:lineRule="auto"/>
        <w:jc w:val="both"/>
        <w:rPr>
          <w:rFonts w:ascii="Times New Roman" w:eastAsia="Times New Roman" w:hAnsi="Times New Roman"/>
          <w:b/>
          <w:i/>
          <w:sz w:val="28"/>
          <w:szCs w:val="28"/>
          <w:lang w:val="kk-KZ" w:eastAsia="ru-RU"/>
        </w:rPr>
      </w:pPr>
      <w:r w:rsidRPr="00825E26">
        <w:rPr>
          <w:rFonts w:ascii="Times New Roman" w:hAnsi="Times New Roman"/>
          <w:b/>
          <w:i/>
          <w:color w:val="000000"/>
          <w:sz w:val="28"/>
          <w:szCs w:val="28"/>
          <w:lang w:val="kk-KZ"/>
        </w:rPr>
        <w:t>Дәрілік препаратты қолдану тәсілін түсіндіру үшін медициналық қызметкер кеңесіне жүгіну жөніндегі кеңестер</w:t>
      </w:r>
    </w:p>
    <w:p w:rsidR="00D73A01" w:rsidRPr="00825E26" w:rsidRDefault="00D73A01" w:rsidP="00D73A01">
      <w:pPr>
        <w:spacing w:after="0" w:line="240" w:lineRule="auto"/>
        <w:jc w:val="both"/>
        <w:rPr>
          <w:rFonts w:ascii="Times New Roman" w:eastAsia="Times New Roman" w:hAnsi="Times New Roman"/>
          <w:bCs/>
          <w:sz w:val="28"/>
          <w:szCs w:val="28"/>
          <w:lang w:val="kk-KZ" w:eastAsia="ru-RU"/>
        </w:rPr>
      </w:pPr>
      <w:r w:rsidRPr="00825E26">
        <w:rPr>
          <w:rFonts w:ascii="Times New Roman" w:eastAsia="Times New Roman" w:hAnsi="Times New Roman"/>
          <w:bCs/>
          <w:sz w:val="28"/>
          <w:szCs w:val="28"/>
          <w:lang w:val="kk-KZ" w:eastAsia="ru-RU"/>
        </w:rPr>
        <w:t>Егер препаратты қолдану туралы сұрақтар туындаса, емдеуші дәрігеріңізге хабарласыңыз.</w:t>
      </w:r>
    </w:p>
    <w:p w:rsidR="00456BA0" w:rsidRPr="00BF1619" w:rsidRDefault="00456BA0" w:rsidP="00FA47DB">
      <w:pPr>
        <w:spacing w:after="0" w:line="240" w:lineRule="auto"/>
        <w:jc w:val="both"/>
        <w:rPr>
          <w:rFonts w:ascii="Times New Roman" w:eastAsia="Times New Roman" w:hAnsi="Times New Roman"/>
          <w:b/>
          <w:color w:val="000000"/>
          <w:sz w:val="28"/>
          <w:szCs w:val="28"/>
          <w:lang w:val="kk-KZ"/>
        </w:rPr>
      </w:pP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r w:rsidRPr="002301E0">
        <w:rPr>
          <w:rFonts w:ascii="Times New Roman" w:eastAsia="Times New Roman" w:hAnsi="Times New Roman"/>
          <w:b/>
          <w:sz w:val="28"/>
          <w:szCs w:val="28"/>
          <w:lang w:val="kk-KZ" w:eastAsia="ru-RU"/>
        </w:rPr>
        <w:t>ДП стандартты қолдану кезінде көрініс беретін жағымсыз реакциялар сипаттам</w:t>
      </w:r>
      <w:r w:rsidR="00C17BDD">
        <w:rPr>
          <w:rFonts w:ascii="Times New Roman" w:eastAsia="Times New Roman" w:hAnsi="Times New Roman"/>
          <w:b/>
          <w:sz w:val="28"/>
          <w:szCs w:val="28"/>
          <w:lang w:val="kk-KZ" w:eastAsia="ru-RU"/>
        </w:rPr>
        <w:t xml:space="preserve">асы және осы жағдайда қабылдау </w:t>
      </w:r>
      <w:r w:rsidRPr="002301E0">
        <w:rPr>
          <w:rFonts w:ascii="Times New Roman" w:eastAsia="Times New Roman" w:hAnsi="Times New Roman"/>
          <w:b/>
          <w:sz w:val="28"/>
          <w:szCs w:val="28"/>
          <w:lang w:val="kk-KZ" w:eastAsia="ru-RU"/>
        </w:rPr>
        <w:t>керек шаралар</w:t>
      </w:r>
    </w:p>
    <w:p w:rsidR="001544D6" w:rsidRDefault="001544D6" w:rsidP="00FA47DB">
      <w:pPr>
        <w:spacing w:after="0" w:line="240" w:lineRule="auto"/>
        <w:jc w:val="both"/>
        <w:rPr>
          <w:rFonts w:ascii="Times New Roman" w:eastAsia="Times New Roman" w:hAnsi="Times New Roman"/>
          <w:bCs/>
          <w:i/>
          <w:iCs/>
          <w:sz w:val="28"/>
          <w:szCs w:val="28"/>
          <w:lang w:val="kk-KZ"/>
        </w:rPr>
      </w:pPr>
      <w:r w:rsidRPr="002301E0">
        <w:rPr>
          <w:rFonts w:ascii="Times New Roman" w:eastAsia="Times New Roman" w:hAnsi="Times New Roman"/>
          <w:bCs/>
          <w:i/>
          <w:iCs/>
          <w:sz w:val="28"/>
          <w:szCs w:val="28"/>
          <w:lang w:val="kk-KZ"/>
        </w:rPr>
        <w:t>Жиі</w:t>
      </w:r>
    </w:p>
    <w:p w:rsidR="001544D6" w:rsidRDefault="001544D6" w:rsidP="001544D6">
      <w:pPr>
        <w:pStyle w:val="ab"/>
        <w:numPr>
          <w:ilvl w:val="0"/>
          <w:numId w:val="14"/>
        </w:numPr>
        <w:spacing w:after="0" w:line="240" w:lineRule="auto"/>
        <w:ind w:left="284" w:hanging="284"/>
        <w:jc w:val="both"/>
        <w:rPr>
          <w:rFonts w:ascii="Times New Roman" w:eastAsia="Times New Roman" w:hAnsi="Times New Roman"/>
          <w:sz w:val="28"/>
          <w:szCs w:val="28"/>
          <w:lang w:val="kk-KZ"/>
        </w:rPr>
      </w:pPr>
      <w:r w:rsidRPr="001544D6">
        <w:rPr>
          <w:rFonts w:ascii="Times New Roman" w:eastAsia="Times New Roman" w:hAnsi="Times New Roman"/>
          <w:sz w:val="28"/>
          <w:szCs w:val="28"/>
          <w:lang w:val="kk-KZ"/>
        </w:rPr>
        <w:t>жеңіл немесе қысқа мерзімді бас ауыру, бас айналу</w:t>
      </w:r>
    </w:p>
    <w:p w:rsidR="00672EE9" w:rsidRPr="001544D6" w:rsidRDefault="00672EE9" w:rsidP="001544D6">
      <w:pPr>
        <w:pStyle w:val="ab"/>
        <w:numPr>
          <w:ilvl w:val="0"/>
          <w:numId w:val="14"/>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іштің ауыруы, диспепсия, жүрек айну, құсу, диарея  </w:t>
      </w:r>
    </w:p>
    <w:p w:rsidR="001544D6" w:rsidRDefault="001544D6" w:rsidP="00FA47DB">
      <w:pPr>
        <w:spacing w:after="0" w:line="240" w:lineRule="auto"/>
        <w:jc w:val="both"/>
        <w:rPr>
          <w:rFonts w:ascii="Times New Roman" w:eastAsia="Times New Roman" w:hAnsi="Times New Roman"/>
          <w:bCs/>
          <w:i/>
          <w:iCs/>
          <w:sz w:val="28"/>
          <w:szCs w:val="28"/>
          <w:lang w:val="kk-KZ"/>
        </w:rPr>
      </w:pPr>
      <w:r w:rsidRPr="002301E0">
        <w:rPr>
          <w:rFonts w:ascii="Times New Roman" w:eastAsia="Times New Roman" w:hAnsi="Times New Roman"/>
          <w:bCs/>
          <w:i/>
          <w:iCs/>
          <w:sz w:val="28"/>
          <w:szCs w:val="28"/>
          <w:lang w:val="kk-KZ"/>
        </w:rPr>
        <w:t>Жиі емес</w:t>
      </w:r>
    </w:p>
    <w:p w:rsidR="001544D6" w:rsidRPr="001544D6" w:rsidRDefault="001544D6" w:rsidP="001544D6">
      <w:pPr>
        <w:pStyle w:val="ab"/>
        <w:numPr>
          <w:ilvl w:val="0"/>
          <w:numId w:val="13"/>
        </w:numPr>
        <w:spacing w:after="0" w:line="240" w:lineRule="auto"/>
        <w:ind w:left="284" w:hanging="284"/>
        <w:jc w:val="both"/>
        <w:rPr>
          <w:rFonts w:ascii="Times New Roman" w:eastAsia="Times New Roman" w:hAnsi="Times New Roman"/>
          <w:bCs/>
          <w:iCs/>
          <w:sz w:val="28"/>
          <w:szCs w:val="28"/>
          <w:lang w:val="kk-KZ"/>
        </w:rPr>
      </w:pPr>
      <w:r w:rsidRPr="001544D6">
        <w:rPr>
          <w:rFonts w:ascii="Times New Roman" w:eastAsia="Times New Roman" w:hAnsi="Times New Roman"/>
          <w:sz w:val="28"/>
          <w:szCs w:val="28"/>
          <w:lang w:val="kk-KZ"/>
        </w:rPr>
        <w:t>анорексия, дене салмағының өзгеруі</w:t>
      </w:r>
    </w:p>
    <w:p w:rsidR="001544D6" w:rsidRPr="00A15AD6" w:rsidRDefault="001544D6" w:rsidP="001544D6">
      <w:pPr>
        <w:pStyle w:val="ab"/>
        <w:numPr>
          <w:ilvl w:val="0"/>
          <w:numId w:val="13"/>
        </w:numPr>
        <w:spacing w:after="0" w:line="240" w:lineRule="auto"/>
        <w:ind w:left="284" w:hanging="284"/>
        <w:jc w:val="both"/>
        <w:rPr>
          <w:rFonts w:ascii="Times New Roman" w:hAnsi="Times New Roman"/>
          <w:sz w:val="28"/>
          <w:szCs w:val="28"/>
        </w:rPr>
      </w:pPr>
      <w:r w:rsidRPr="002301E0">
        <w:rPr>
          <w:rFonts w:ascii="Times New Roman" w:eastAsia="Times New Roman" w:hAnsi="Times New Roman"/>
          <w:sz w:val="28"/>
          <w:szCs w:val="28"/>
          <w:lang w:val="kk-KZ"/>
        </w:rPr>
        <w:t>ұйқысыздық, депрессия</w:t>
      </w:r>
    </w:p>
    <w:p w:rsidR="002A74BD" w:rsidRPr="00A15AD6" w:rsidRDefault="002A74BD" w:rsidP="001544D6">
      <w:pPr>
        <w:pStyle w:val="ab"/>
        <w:numPr>
          <w:ilvl w:val="0"/>
          <w:numId w:val="13"/>
        </w:numPr>
        <w:spacing w:after="0" w:line="240" w:lineRule="auto"/>
        <w:ind w:left="284" w:hanging="284"/>
        <w:jc w:val="both"/>
        <w:rPr>
          <w:rFonts w:ascii="Times New Roman" w:hAnsi="Times New Roman"/>
          <w:sz w:val="28"/>
          <w:szCs w:val="28"/>
        </w:rPr>
      </w:pPr>
      <w:r w:rsidRPr="00A15AD6">
        <w:rPr>
          <w:rFonts w:ascii="Times New Roman" w:hAnsi="Times New Roman"/>
          <w:sz w:val="28"/>
          <w:szCs w:val="28"/>
        </w:rPr>
        <w:t>конъюнктивит</w:t>
      </w:r>
    </w:p>
    <w:p w:rsidR="00A15AD6" w:rsidRPr="00A15AD6" w:rsidRDefault="00A15AD6" w:rsidP="00A15AD6">
      <w:pPr>
        <w:pStyle w:val="ab"/>
        <w:numPr>
          <w:ilvl w:val="0"/>
          <w:numId w:val="13"/>
        </w:numPr>
        <w:spacing w:after="0" w:line="240" w:lineRule="auto"/>
        <w:ind w:left="284" w:hanging="284"/>
        <w:jc w:val="both"/>
        <w:rPr>
          <w:rFonts w:ascii="Times New Roman" w:hAnsi="Times New Roman"/>
          <w:sz w:val="28"/>
          <w:szCs w:val="28"/>
        </w:rPr>
      </w:pPr>
      <w:r w:rsidRPr="00A15AD6">
        <w:rPr>
          <w:rFonts w:ascii="Times New Roman" w:hAnsi="Times New Roman"/>
          <w:sz w:val="28"/>
          <w:szCs w:val="28"/>
        </w:rPr>
        <w:t>бас айналу, құлақтың шуылдауы</w:t>
      </w:r>
    </w:p>
    <w:p w:rsidR="002A74BD" w:rsidRPr="002A74BD" w:rsidRDefault="002A74BD" w:rsidP="002A74BD">
      <w:pPr>
        <w:pStyle w:val="ab"/>
        <w:numPr>
          <w:ilvl w:val="0"/>
          <w:numId w:val="13"/>
        </w:numPr>
        <w:spacing w:after="0" w:line="240" w:lineRule="auto"/>
        <w:ind w:left="284" w:hanging="284"/>
        <w:jc w:val="both"/>
        <w:rPr>
          <w:rFonts w:ascii="Times New Roman" w:eastAsia="Times New Roman" w:hAnsi="Times New Roman"/>
          <w:bCs/>
          <w:iCs/>
          <w:sz w:val="28"/>
          <w:szCs w:val="28"/>
          <w:lang w:val="kk-KZ"/>
        </w:rPr>
      </w:pPr>
      <w:proofErr w:type="spellStart"/>
      <w:r w:rsidRPr="00A15AD6">
        <w:rPr>
          <w:rFonts w:ascii="Times New Roman" w:hAnsi="Times New Roman"/>
          <w:sz w:val="28"/>
          <w:szCs w:val="28"/>
        </w:rPr>
        <w:t>жүрек</w:t>
      </w:r>
      <w:proofErr w:type="spellEnd"/>
      <w:r w:rsidRPr="00A15AD6">
        <w:rPr>
          <w:rFonts w:ascii="Times New Roman" w:hAnsi="Times New Roman"/>
          <w:sz w:val="28"/>
          <w:szCs w:val="28"/>
        </w:rPr>
        <w:t xml:space="preserve"> </w:t>
      </w:r>
      <w:proofErr w:type="spellStart"/>
      <w:r w:rsidRPr="00A15AD6">
        <w:rPr>
          <w:rFonts w:ascii="Times New Roman" w:hAnsi="Times New Roman"/>
          <w:sz w:val="28"/>
          <w:szCs w:val="28"/>
        </w:rPr>
        <w:t>қағуы</w:t>
      </w:r>
      <w:proofErr w:type="spellEnd"/>
      <w:r w:rsidRPr="00A15AD6">
        <w:rPr>
          <w:rFonts w:ascii="Times New Roman" w:hAnsi="Times New Roman"/>
          <w:sz w:val="28"/>
          <w:szCs w:val="28"/>
        </w:rPr>
        <w:t xml:space="preserve">, тахикардия, </w:t>
      </w:r>
      <w:r w:rsidRPr="002A74BD">
        <w:rPr>
          <w:rFonts w:ascii="Times New Roman" w:eastAsia="Times New Roman" w:hAnsi="Times New Roman"/>
          <w:sz w:val="28"/>
          <w:szCs w:val="28"/>
          <w:lang w:val="kk-KZ"/>
        </w:rPr>
        <w:t>жүрек жеткіліксіздігі</w:t>
      </w:r>
    </w:p>
    <w:p w:rsidR="002A74BD" w:rsidRPr="00A15AD6" w:rsidRDefault="001023FB" w:rsidP="001544D6">
      <w:pPr>
        <w:pStyle w:val="ab"/>
        <w:numPr>
          <w:ilvl w:val="0"/>
          <w:numId w:val="13"/>
        </w:numPr>
        <w:spacing w:after="0" w:line="240" w:lineRule="auto"/>
        <w:ind w:left="284" w:hanging="284"/>
        <w:jc w:val="both"/>
        <w:rPr>
          <w:rFonts w:ascii="Times New Roman" w:hAnsi="Times New Roman"/>
          <w:sz w:val="28"/>
          <w:szCs w:val="28"/>
        </w:rPr>
      </w:pPr>
      <w:r w:rsidRPr="002E68A4">
        <w:rPr>
          <w:rFonts w:ascii="Times New Roman" w:hAnsi="Times New Roman"/>
          <w:sz w:val="28"/>
          <w:szCs w:val="28"/>
        </w:rPr>
        <w:t>гиперемия</w:t>
      </w:r>
      <w:r w:rsidRPr="00A15AD6">
        <w:rPr>
          <w:rFonts w:ascii="Times New Roman" w:hAnsi="Times New Roman"/>
          <w:sz w:val="28"/>
          <w:szCs w:val="28"/>
        </w:rPr>
        <w:t>, ісіну</w:t>
      </w:r>
    </w:p>
    <w:p w:rsidR="00672EE9" w:rsidRPr="00A15AD6" w:rsidRDefault="00672EE9" w:rsidP="001544D6">
      <w:pPr>
        <w:pStyle w:val="ab"/>
        <w:numPr>
          <w:ilvl w:val="0"/>
          <w:numId w:val="13"/>
        </w:numPr>
        <w:spacing w:after="0" w:line="240" w:lineRule="auto"/>
        <w:ind w:left="284" w:hanging="284"/>
        <w:jc w:val="both"/>
        <w:rPr>
          <w:rFonts w:ascii="Times New Roman" w:hAnsi="Times New Roman"/>
          <w:sz w:val="28"/>
          <w:szCs w:val="28"/>
        </w:rPr>
      </w:pPr>
      <w:r w:rsidRPr="00A15AD6">
        <w:rPr>
          <w:rFonts w:ascii="Times New Roman" w:hAnsi="Times New Roman"/>
          <w:sz w:val="28"/>
          <w:szCs w:val="28"/>
        </w:rPr>
        <w:t>ринит</w:t>
      </w:r>
    </w:p>
    <w:p w:rsidR="00A15AD6" w:rsidRPr="00A15AD6" w:rsidRDefault="00A15AD6" w:rsidP="001544D6">
      <w:pPr>
        <w:pStyle w:val="ab"/>
        <w:numPr>
          <w:ilvl w:val="0"/>
          <w:numId w:val="13"/>
        </w:numPr>
        <w:spacing w:after="0" w:line="240" w:lineRule="auto"/>
        <w:ind w:left="284" w:hanging="284"/>
        <w:jc w:val="both"/>
        <w:rPr>
          <w:rFonts w:ascii="Times New Roman" w:eastAsia="Times New Roman" w:hAnsi="Times New Roman"/>
          <w:sz w:val="28"/>
          <w:szCs w:val="28"/>
          <w:lang w:val="kk-KZ"/>
        </w:rPr>
      </w:pPr>
      <w:proofErr w:type="spellStart"/>
      <w:r w:rsidRPr="00A15AD6">
        <w:rPr>
          <w:rFonts w:ascii="Times New Roman" w:hAnsi="Times New Roman"/>
          <w:sz w:val="28"/>
          <w:szCs w:val="28"/>
        </w:rPr>
        <w:t>іш</w:t>
      </w:r>
      <w:proofErr w:type="spellEnd"/>
      <w:r w:rsidRPr="00A15AD6">
        <w:rPr>
          <w:rFonts w:ascii="Times New Roman" w:hAnsi="Times New Roman"/>
          <w:sz w:val="28"/>
          <w:szCs w:val="28"/>
        </w:rPr>
        <w:t xml:space="preserve"> </w:t>
      </w:r>
      <w:r w:rsidRPr="00A15AD6">
        <w:rPr>
          <w:rFonts w:ascii="Times New Roman" w:eastAsia="Times New Roman" w:hAnsi="Times New Roman"/>
          <w:sz w:val="28"/>
          <w:szCs w:val="28"/>
          <w:lang w:val="kk-KZ"/>
        </w:rPr>
        <w:t xml:space="preserve">қату, метеоризм, кекіру, ауыздың құрғауы, гастрит, асқазан жарасы, іштің жоғарғы бөлігіндегі ауырсыну, он екі елі ішектің жарасы, ойық жаралы стоматит </w:t>
      </w:r>
    </w:p>
    <w:p w:rsidR="00672EE9" w:rsidRPr="00A15AD6" w:rsidRDefault="00A15AD6" w:rsidP="00A15AD6">
      <w:pPr>
        <w:pStyle w:val="ab"/>
        <w:numPr>
          <w:ilvl w:val="0"/>
          <w:numId w:val="13"/>
        </w:numPr>
        <w:spacing w:after="0" w:line="240" w:lineRule="auto"/>
        <w:ind w:left="284" w:hanging="284"/>
        <w:jc w:val="both"/>
        <w:rPr>
          <w:rFonts w:ascii="Times New Roman" w:eastAsia="Times New Roman" w:hAnsi="Times New Roman"/>
          <w:sz w:val="28"/>
          <w:szCs w:val="28"/>
          <w:lang w:val="kk-KZ"/>
        </w:rPr>
      </w:pPr>
      <w:r w:rsidRPr="00A15AD6">
        <w:rPr>
          <w:rFonts w:ascii="Times New Roman" w:eastAsia="Times New Roman" w:hAnsi="Times New Roman"/>
          <w:sz w:val="28"/>
          <w:szCs w:val="28"/>
          <w:lang w:val="kk-KZ"/>
        </w:rPr>
        <w:t xml:space="preserve">бауыр функциясының биохимиялық көрсеткіштерінің жоғарылауы (АЛТ немесе AСT) </w:t>
      </w:r>
    </w:p>
    <w:p w:rsidR="00672EE9" w:rsidRPr="00672EE9" w:rsidRDefault="00672EE9" w:rsidP="001544D6">
      <w:pPr>
        <w:pStyle w:val="ab"/>
        <w:numPr>
          <w:ilvl w:val="0"/>
          <w:numId w:val="13"/>
        </w:numPr>
        <w:spacing w:after="0" w:line="240" w:lineRule="auto"/>
        <w:ind w:left="284" w:hanging="284"/>
        <w:jc w:val="both"/>
        <w:rPr>
          <w:rFonts w:ascii="Times New Roman" w:eastAsia="Times New Roman" w:hAnsi="Times New Roman"/>
          <w:bCs/>
          <w:iCs/>
          <w:sz w:val="28"/>
          <w:szCs w:val="28"/>
          <w:lang w:val="kk-KZ"/>
        </w:rPr>
      </w:pPr>
      <w:r w:rsidRPr="002301E0">
        <w:rPr>
          <w:rFonts w:ascii="Times New Roman" w:eastAsia="Times New Roman" w:hAnsi="Times New Roman"/>
          <w:sz w:val="28"/>
          <w:szCs w:val="28"/>
          <w:lang w:val="kk-KZ"/>
        </w:rPr>
        <w:lastRenderedPageBreak/>
        <w:t xml:space="preserve">бөртпе, қышыну, гипергидроз, эритематоздық бөртпе, есекжем, </w:t>
      </w:r>
      <w:r w:rsidR="00A15AD6">
        <w:rPr>
          <w:rFonts w:ascii="Times New Roman" w:eastAsia="Times New Roman" w:hAnsi="Times New Roman"/>
          <w:sz w:val="28"/>
          <w:szCs w:val="28"/>
          <w:lang w:val="kk-KZ"/>
        </w:rPr>
        <w:t>Квинке</w:t>
      </w:r>
      <w:r w:rsidRPr="002301E0">
        <w:rPr>
          <w:rFonts w:ascii="Times New Roman" w:eastAsia="Times New Roman" w:hAnsi="Times New Roman"/>
          <w:sz w:val="28"/>
          <w:szCs w:val="28"/>
          <w:lang w:val="kk-KZ"/>
        </w:rPr>
        <w:t xml:space="preserve"> ісіну</w:t>
      </w:r>
      <w:r w:rsidR="00A15AD6" w:rsidRPr="002301E0">
        <w:rPr>
          <w:rFonts w:ascii="Times New Roman" w:eastAsia="Times New Roman" w:hAnsi="Times New Roman"/>
          <w:sz w:val="28"/>
          <w:szCs w:val="28"/>
          <w:lang w:val="kk-KZ"/>
        </w:rPr>
        <w:t>і</w:t>
      </w:r>
      <w:r w:rsidRPr="002301E0">
        <w:rPr>
          <w:rFonts w:ascii="Times New Roman" w:eastAsia="Times New Roman" w:hAnsi="Times New Roman"/>
          <w:sz w:val="28"/>
          <w:szCs w:val="28"/>
          <w:lang w:val="kk-KZ"/>
        </w:rPr>
        <w:t>, алопеция</w:t>
      </w:r>
    </w:p>
    <w:p w:rsidR="00672EE9" w:rsidRPr="00672EE9" w:rsidRDefault="00672EE9" w:rsidP="001544D6">
      <w:pPr>
        <w:pStyle w:val="ab"/>
        <w:numPr>
          <w:ilvl w:val="0"/>
          <w:numId w:val="13"/>
        </w:numPr>
        <w:spacing w:after="0" w:line="240" w:lineRule="auto"/>
        <w:ind w:left="284" w:hanging="284"/>
        <w:jc w:val="both"/>
        <w:rPr>
          <w:rFonts w:ascii="Times New Roman" w:eastAsia="Times New Roman" w:hAnsi="Times New Roman"/>
          <w:bCs/>
          <w:iCs/>
          <w:sz w:val="28"/>
          <w:szCs w:val="28"/>
          <w:lang w:val="kk-KZ"/>
        </w:rPr>
      </w:pPr>
      <w:r w:rsidRPr="002301E0">
        <w:rPr>
          <w:rFonts w:ascii="Times New Roman" w:eastAsia="Times New Roman" w:hAnsi="Times New Roman"/>
          <w:sz w:val="28"/>
          <w:szCs w:val="28"/>
          <w:lang w:val="kk-KZ"/>
        </w:rPr>
        <w:t>артралгия</w:t>
      </w:r>
    </w:p>
    <w:p w:rsidR="001544D6" w:rsidRPr="00672EE9" w:rsidRDefault="00672EE9" w:rsidP="00302E65">
      <w:pPr>
        <w:pStyle w:val="ab"/>
        <w:numPr>
          <w:ilvl w:val="0"/>
          <w:numId w:val="13"/>
        </w:numPr>
        <w:spacing w:after="0" w:line="240" w:lineRule="auto"/>
        <w:ind w:left="284" w:hanging="284"/>
        <w:jc w:val="both"/>
        <w:rPr>
          <w:rFonts w:ascii="Times New Roman" w:eastAsia="Times New Roman" w:hAnsi="Times New Roman"/>
          <w:bCs/>
          <w:i/>
          <w:iCs/>
          <w:sz w:val="28"/>
          <w:szCs w:val="28"/>
          <w:lang w:val="kk-KZ"/>
        </w:rPr>
      </w:pPr>
      <w:r w:rsidRPr="00672EE9">
        <w:rPr>
          <w:rFonts w:ascii="Times New Roman" w:eastAsia="Times New Roman" w:hAnsi="Times New Roman"/>
          <w:sz w:val="28"/>
          <w:szCs w:val="28"/>
          <w:lang w:val="kk-KZ"/>
        </w:rPr>
        <w:t>дімкәстану, беттің ісінуі</w:t>
      </w:r>
    </w:p>
    <w:p w:rsidR="001544D6" w:rsidRDefault="001544D6" w:rsidP="00FA47DB">
      <w:pPr>
        <w:spacing w:after="0" w:line="240" w:lineRule="auto"/>
        <w:jc w:val="both"/>
        <w:rPr>
          <w:rFonts w:ascii="Times New Roman" w:eastAsia="Times New Roman" w:hAnsi="Times New Roman"/>
          <w:i/>
          <w:sz w:val="28"/>
          <w:szCs w:val="28"/>
          <w:lang w:val="kk-KZ"/>
        </w:rPr>
      </w:pPr>
      <w:r w:rsidRPr="002301E0">
        <w:rPr>
          <w:rFonts w:ascii="Times New Roman" w:eastAsia="Times New Roman" w:hAnsi="Times New Roman"/>
          <w:i/>
          <w:sz w:val="28"/>
          <w:szCs w:val="28"/>
          <w:lang w:val="kk-KZ"/>
        </w:rPr>
        <w:t>Сирек</w:t>
      </w:r>
    </w:p>
    <w:p w:rsidR="001544D6" w:rsidRDefault="001544D6" w:rsidP="001544D6">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1544D6">
        <w:rPr>
          <w:rFonts w:ascii="Times New Roman" w:eastAsia="Times New Roman" w:hAnsi="Times New Roman"/>
          <w:sz w:val="28"/>
          <w:szCs w:val="28"/>
          <w:lang w:val="kk-KZ"/>
        </w:rPr>
        <w:t>фарингит</w:t>
      </w:r>
    </w:p>
    <w:p w:rsidR="001544D6" w:rsidRDefault="001544D6" w:rsidP="001544D6">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анемия, тромбоцитопения, лейкопения, қан кету уақытының ұзаруы</w:t>
      </w:r>
    </w:p>
    <w:p w:rsidR="001544D6" w:rsidRDefault="001544D6" w:rsidP="001544D6">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анафилактоидтық және анафилаксия</w:t>
      </w:r>
      <w:r w:rsidR="00A15AD6">
        <w:rPr>
          <w:rFonts w:ascii="Times New Roman" w:eastAsia="Times New Roman" w:hAnsi="Times New Roman"/>
          <w:sz w:val="28"/>
          <w:szCs w:val="28"/>
          <w:lang w:val="kk-KZ"/>
        </w:rPr>
        <w:t>л</w:t>
      </w:r>
      <w:r w:rsidR="00A15AD6" w:rsidRPr="002301E0">
        <w:rPr>
          <w:rFonts w:ascii="Times New Roman" w:eastAsia="Times New Roman" w:hAnsi="Times New Roman"/>
          <w:sz w:val="28"/>
          <w:szCs w:val="28"/>
          <w:lang w:val="kk-KZ"/>
        </w:rPr>
        <w:t>ық</w:t>
      </w:r>
      <w:r w:rsidRPr="002301E0">
        <w:rPr>
          <w:rFonts w:ascii="Times New Roman" w:eastAsia="Times New Roman" w:hAnsi="Times New Roman"/>
          <w:sz w:val="28"/>
          <w:szCs w:val="28"/>
          <w:lang w:val="kk-KZ"/>
        </w:rPr>
        <w:t xml:space="preserve"> </w:t>
      </w:r>
      <w:r w:rsidR="00A15AD6" w:rsidRPr="002301E0">
        <w:rPr>
          <w:rFonts w:ascii="Times New Roman" w:eastAsia="Times New Roman" w:hAnsi="Times New Roman"/>
          <w:sz w:val="28"/>
          <w:szCs w:val="28"/>
          <w:lang w:val="kk-KZ"/>
        </w:rPr>
        <w:t>реакцияларды</w:t>
      </w:r>
      <w:r w:rsidR="00A15AD6">
        <w:rPr>
          <w:rFonts w:ascii="Times New Roman" w:eastAsia="Times New Roman" w:hAnsi="Times New Roman"/>
          <w:sz w:val="28"/>
          <w:szCs w:val="28"/>
          <w:lang w:val="kk-KZ"/>
        </w:rPr>
        <w:t xml:space="preserve"> </w:t>
      </w:r>
      <w:r w:rsidR="00A15AD6" w:rsidRPr="002301E0">
        <w:rPr>
          <w:rFonts w:ascii="Times New Roman" w:eastAsia="Times New Roman" w:hAnsi="Times New Roman"/>
          <w:sz w:val="28"/>
          <w:szCs w:val="28"/>
          <w:lang w:val="kk-KZ"/>
        </w:rPr>
        <w:t>қ</w:t>
      </w:r>
      <w:r w:rsidR="00A15AD6">
        <w:rPr>
          <w:rFonts w:ascii="Times New Roman" w:eastAsia="Times New Roman" w:hAnsi="Times New Roman"/>
          <w:sz w:val="28"/>
          <w:szCs w:val="28"/>
          <w:lang w:val="kk-KZ"/>
        </w:rPr>
        <w:t>оса</w:t>
      </w:r>
      <w:r w:rsidRPr="002301E0">
        <w:rPr>
          <w:rFonts w:ascii="Times New Roman" w:eastAsia="Times New Roman" w:hAnsi="Times New Roman"/>
          <w:sz w:val="28"/>
          <w:szCs w:val="28"/>
          <w:lang w:val="kk-KZ"/>
        </w:rPr>
        <w:t>, аса жоғары сезімталдық</w:t>
      </w:r>
    </w:p>
    <w:p w:rsidR="001544D6" w:rsidRDefault="001544D6" w:rsidP="001544D6">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сананың шатасуы, </w:t>
      </w:r>
      <w:r w:rsidR="00A15AD6" w:rsidRPr="00A15AD6">
        <w:rPr>
          <w:rFonts w:ascii="Times New Roman" w:eastAsia="Times New Roman" w:hAnsi="Times New Roman"/>
          <w:sz w:val="28"/>
          <w:szCs w:val="28"/>
          <w:lang w:val="kk-KZ"/>
        </w:rPr>
        <w:t>қозғыштықтың жоғарылауы</w:t>
      </w:r>
      <w:r w:rsidRPr="002301E0">
        <w:rPr>
          <w:rFonts w:ascii="Times New Roman" w:eastAsia="Times New Roman" w:hAnsi="Times New Roman"/>
          <w:sz w:val="28"/>
          <w:szCs w:val="28"/>
          <w:lang w:val="kk-KZ"/>
        </w:rPr>
        <w:t>, қозу</w:t>
      </w:r>
    </w:p>
    <w:p w:rsidR="002A74BD" w:rsidRDefault="002A74BD" w:rsidP="001544D6">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ұйқышылдық, парестезия, дисгевзия, тремор, бас сақинасы</w:t>
      </w:r>
    </w:p>
    <w:p w:rsidR="002A74BD" w:rsidRDefault="002A74BD" w:rsidP="001544D6">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көру қабілетінің бұзылуы</w:t>
      </w:r>
    </w:p>
    <w:p w:rsidR="00672EE9" w:rsidRDefault="00672EE9" w:rsidP="001544D6">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артериялық гипертензия, қан кернеулер, </w:t>
      </w:r>
      <w:r w:rsidR="009D34EB" w:rsidRPr="009D34EB">
        <w:rPr>
          <w:rFonts w:ascii="Times New Roman" w:eastAsia="Times New Roman" w:hAnsi="Times New Roman"/>
          <w:sz w:val="28"/>
          <w:szCs w:val="28"/>
          <w:lang w:val="kk-KZ"/>
        </w:rPr>
        <w:t>қан кетулер, гематома</w:t>
      </w:r>
    </w:p>
    <w:p w:rsidR="009D34EB" w:rsidRDefault="009D34EB" w:rsidP="00BF1619">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9D34EB">
        <w:rPr>
          <w:rFonts w:ascii="Times New Roman" w:eastAsia="Times New Roman" w:hAnsi="Times New Roman"/>
          <w:sz w:val="28"/>
          <w:szCs w:val="28"/>
          <w:lang w:val="kk-KZ"/>
        </w:rPr>
        <w:t>ентігу, жөтел, бронх түйілуі</w:t>
      </w:r>
      <w:r w:rsidRPr="002301E0">
        <w:rPr>
          <w:rFonts w:ascii="Times New Roman" w:eastAsia="Times New Roman" w:hAnsi="Times New Roman"/>
          <w:sz w:val="28"/>
          <w:szCs w:val="28"/>
          <w:lang w:val="kk-KZ"/>
        </w:rPr>
        <w:t xml:space="preserve"> </w:t>
      </w:r>
    </w:p>
    <w:p w:rsidR="009D34EB" w:rsidRDefault="009D34EB" w:rsidP="00BF1619">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9D34EB">
        <w:rPr>
          <w:rFonts w:ascii="Times New Roman" w:eastAsia="Times New Roman" w:hAnsi="Times New Roman"/>
          <w:sz w:val="28"/>
          <w:szCs w:val="28"/>
          <w:lang w:val="kk-KZ"/>
        </w:rPr>
        <w:t>мелена, қан құсу, стоматит, эзофагит, гастроэзофагеальді рефлюкс, дисфагия, афтозды стоматит, глоссит, тесілуі бар асқазан жарасы, асқазан-ішектен қан кету</w:t>
      </w:r>
      <w:r w:rsidRPr="00BF1619">
        <w:rPr>
          <w:rFonts w:ascii="Times New Roman" w:eastAsia="Times New Roman" w:hAnsi="Times New Roman"/>
          <w:sz w:val="28"/>
          <w:szCs w:val="28"/>
          <w:lang w:val="kk-KZ"/>
        </w:rPr>
        <w:t xml:space="preserve"> </w:t>
      </w:r>
    </w:p>
    <w:p w:rsidR="00BF1619" w:rsidRPr="00BF1619" w:rsidRDefault="00BF1619" w:rsidP="00BF1619">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BF1619">
        <w:rPr>
          <w:rFonts w:ascii="Times New Roman" w:eastAsia="Times New Roman" w:hAnsi="Times New Roman"/>
          <w:sz w:val="28"/>
          <w:szCs w:val="28"/>
          <w:lang w:val="kk-KZ"/>
        </w:rPr>
        <w:t>бауыр функциясының бұзылуы</w:t>
      </w:r>
    </w:p>
    <w:p w:rsidR="00672EE9" w:rsidRDefault="00672EE9" w:rsidP="001544D6">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дерматит және экзема, пурпура</w:t>
      </w:r>
    </w:p>
    <w:p w:rsidR="00672EE9" w:rsidRDefault="00672EE9" w:rsidP="001544D6">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сүйектердің ауыруы, бұлшықеттердің түйілуі, миалгия</w:t>
      </w:r>
    </w:p>
    <w:p w:rsidR="00672EE9" w:rsidRDefault="00672EE9" w:rsidP="001544D6">
      <w:pPr>
        <w:pStyle w:val="ab"/>
        <w:numPr>
          <w:ilvl w:val="0"/>
          <w:numId w:val="11"/>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никтурия, несеп шығарудың бұзылуы, қан сарысуындағы креатинин және мочевина азоты деңгейінің жоғарылауы</w:t>
      </w:r>
    </w:p>
    <w:p w:rsidR="001544D6" w:rsidRPr="00672EE9" w:rsidRDefault="00672EE9" w:rsidP="00696C44">
      <w:pPr>
        <w:pStyle w:val="ab"/>
        <w:numPr>
          <w:ilvl w:val="0"/>
          <w:numId w:val="11"/>
        </w:numPr>
        <w:spacing w:after="0" w:line="240" w:lineRule="auto"/>
        <w:ind w:left="284" w:hanging="284"/>
        <w:jc w:val="both"/>
        <w:rPr>
          <w:rFonts w:ascii="Times New Roman" w:eastAsia="Times New Roman" w:hAnsi="Times New Roman"/>
          <w:bCs/>
          <w:i/>
          <w:iCs/>
          <w:sz w:val="28"/>
          <w:szCs w:val="28"/>
          <w:lang w:val="kk-KZ"/>
        </w:rPr>
      </w:pPr>
      <w:r w:rsidRPr="00672EE9">
        <w:rPr>
          <w:rFonts w:ascii="Times New Roman" w:eastAsia="Times New Roman" w:hAnsi="Times New Roman"/>
          <w:sz w:val="28"/>
          <w:szCs w:val="28"/>
          <w:lang w:val="kk-KZ"/>
        </w:rPr>
        <w:t>астения</w:t>
      </w:r>
    </w:p>
    <w:p w:rsidR="001544D6" w:rsidRDefault="001544D6" w:rsidP="00FA47DB">
      <w:pPr>
        <w:spacing w:after="0" w:line="240" w:lineRule="auto"/>
        <w:jc w:val="both"/>
        <w:rPr>
          <w:rFonts w:ascii="Times New Roman" w:eastAsia="Times New Roman" w:hAnsi="Times New Roman"/>
          <w:i/>
          <w:sz w:val="28"/>
          <w:szCs w:val="28"/>
          <w:lang w:val="kk-KZ"/>
        </w:rPr>
      </w:pPr>
      <w:r w:rsidRPr="002301E0">
        <w:rPr>
          <w:rFonts w:ascii="Times New Roman" w:eastAsia="Times New Roman" w:hAnsi="Times New Roman"/>
          <w:i/>
          <w:sz w:val="28"/>
          <w:szCs w:val="28"/>
          <w:lang w:val="kk-KZ"/>
        </w:rPr>
        <w:t>Өте сирек</w:t>
      </w:r>
    </w:p>
    <w:p w:rsidR="001544D6" w:rsidRPr="001544D6" w:rsidRDefault="001544D6" w:rsidP="001544D6">
      <w:pPr>
        <w:pStyle w:val="ab"/>
        <w:numPr>
          <w:ilvl w:val="0"/>
          <w:numId w:val="12"/>
        </w:numPr>
        <w:spacing w:after="0" w:line="240" w:lineRule="auto"/>
        <w:ind w:left="284" w:hanging="284"/>
        <w:jc w:val="both"/>
        <w:rPr>
          <w:rFonts w:ascii="Times New Roman" w:eastAsia="Times New Roman" w:hAnsi="Times New Roman"/>
          <w:bCs/>
          <w:iCs/>
          <w:sz w:val="28"/>
          <w:szCs w:val="28"/>
          <w:lang w:val="kk-KZ"/>
        </w:rPr>
      </w:pPr>
      <w:r w:rsidRPr="001544D6">
        <w:rPr>
          <w:rFonts w:ascii="Times New Roman" w:eastAsia="Times New Roman" w:hAnsi="Times New Roman"/>
          <w:sz w:val="28"/>
          <w:szCs w:val="28"/>
          <w:lang w:val="kk-KZ"/>
        </w:rPr>
        <w:t xml:space="preserve">экхимоздар. </w:t>
      </w:r>
      <w:r w:rsidR="002F4335">
        <w:rPr>
          <w:rFonts w:ascii="Times New Roman" w:eastAsia="Times New Roman" w:hAnsi="Times New Roman"/>
          <w:sz w:val="28"/>
          <w:szCs w:val="28"/>
          <w:lang w:val="kk-KZ"/>
        </w:rPr>
        <w:t>ҚҚСП</w:t>
      </w:r>
      <w:r w:rsidR="009D34EB" w:rsidRPr="009D34EB">
        <w:rPr>
          <w:rFonts w:ascii="Times New Roman" w:eastAsia="Times New Roman" w:hAnsi="Times New Roman"/>
          <w:sz w:val="28"/>
          <w:szCs w:val="28"/>
          <w:lang w:val="kk-KZ"/>
        </w:rPr>
        <w:t xml:space="preserve"> нейтропения, агранулоцитоз, апластикалық және гемотологиялық анемия секілді әлеуетті елеулі гематологиялық бұзылулардың себебі болуы мүмкін екендігі хабарланған (класстық әсерлер)</w:t>
      </w:r>
    </w:p>
    <w:p w:rsidR="001544D6" w:rsidRPr="009D34EB" w:rsidRDefault="002A74BD" w:rsidP="001544D6">
      <w:pPr>
        <w:pStyle w:val="ab"/>
        <w:numPr>
          <w:ilvl w:val="0"/>
          <w:numId w:val="12"/>
        </w:numPr>
        <w:spacing w:after="0" w:line="240" w:lineRule="auto"/>
        <w:ind w:left="284" w:hanging="284"/>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жүйелі қызыл жегісі және дәнекер тіннің аралас аурулары бар пациенттердегі асептикалық менингит</w:t>
      </w:r>
    </w:p>
    <w:p w:rsidR="009D34EB" w:rsidRPr="009D34EB" w:rsidRDefault="009D34EB" w:rsidP="00FA47DB">
      <w:pPr>
        <w:pStyle w:val="ab"/>
        <w:numPr>
          <w:ilvl w:val="0"/>
          <w:numId w:val="12"/>
        </w:numPr>
        <w:spacing w:after="0" w:line="240" w:lineRule="auto"/>
        <w:ind w:left="284" w:hanging="284"/>
        <w:jc w:val="both"/>
        <w:rPr>
          <w:rFonts w:ascii="Times New Roman" w:eastAsia="Times New Roman" w:hAnsi="Times New Roman"/>
          <w:sz w:val="28"/>
          <w:szCs w:val="28"/>
          <w:lang w:val="kk-KZ"/>
        </w:rPr>
      </w:pPr>
      <w:r w:rsidRPr="009D34EB">
        <w:rPr>
          <w:rFonts w:ascii="Times New Roman" w:eastAsia="Times New Roman" w:hAnsi="Times New Roman"/>
          <w:sz w:val="28"/>
          <w:szCs w:val="28"/>
          <w:lang w:val="kk-KZ"/>
        </w:rPr>
        <w:t xml:space="preserve">бауыр жеткіліксіздігіне, гепатитке, сарғаюға және холестаз түрінде пайда болатын гепатоуыттылық </w:t>
      </w:r>
    </w:p>
    <w:p w:rsidR="009D34EB" w:rsidRPr="009D34EB" w:rsidRDefault="009D34EB" w:rsidP="00FA47DB">
      <w:pPr>
        <w:pStyle w:val="ab"/>
        <w:numPr>
          <w:ilvl w:val="0"/>
          <w:numId w:val="12"/>
        </w:numPr>
        <w:spacing w:after="0" w:line="240" w:lineRule="auto"/>
        <w:ind w:left="284" w:hanging="284"/>
        <w:jc w:val="both"/>
        <w:rPr>
          <w:rFonts w:ascii="Times New Roman" w:eastAsia="Times New Roman" w:hAnsi="Times New Roman"/>
          <w:sz w:val="28"/>
          <w:szCs w:val="28"/>
          <w:lang w:val="kk-KZ"/>
        </w:rPr>
      </w:pPr>
      <w:r w:rsidRPr="009D34EB">
        <w:rPr>
          <w:rFonts w:ascii="Times New Roman" w:eastAsia="Times New Roman" w:hAnsi="Times New Roman"/>
          <w:sz w:val="28"/>
          <w:szCs w:val="28"/>
          <w:lang w:val="kk-KZ"/>
        </w:rPr>
        <w:t xml:space="preserve">ісіну және буллездік реакциялар, Стивенс-Джонсон синдромы, уытты эпидермальді некролиз </w:t>
      </w:r>
    </w:p>
    <w:p w:rsidR="009D34EB" w:rsidRPr="009D34EB" w:rsidRDefault="009D34EB" w:rsidP="009D34EB">
      <w:pPr>
        <w:pStyle w:val="ab"/>
        <w:numPr>
          <w:ilvl w:val="0"/>
          <w:numId w:val="12"/>
        </w:numPr>
        <w:spacing w:after="0" w:line="240" w:lineRule="auto"/>
        <w:ind w:left="284" w:hanging="284"/>
        <w:jc w:val="both"/>
        <w:rPr>
          <w:rFonts w:ascii="Times New Roman" w:eastAsia="Times New Roman" w:hAnsi="Times New Roman"/>
          <w:sz w:val="28"/>
          <w:szCs w:val="28"/>
          <w:lang w:val="kk-KZ"/>
        </w:rPr>
      </w:pPr>
      <w:r w:rsidRPr="009D34EB">
        <w:rPr>
          <w:rFonts w:ascii="Times New Roman" w:eastAsia="Times New Roman" w:hAnsi="Times New Roman"/>
          <w:sz w:val="28"/>
          <w:szCs w:val="28"/>
          <w:lang w:val="kk-KZ"/>
        </w:rPr>
        <w:t>бүйрек қан ағымының сақталуы бүйрек простагландиндерінің деңгейіне байланысты болғандықтан, лорноксикам бүйрек функциясы бұзылған пациенттерде жедел бүйрек жеткіліксі</w:t>
      </w:r>
      <w:r>
        <w:rPr>
          <w:rFonts w:ascii="Times New Roman" w:eastAsia="Times New Roman" w:hAnsi="Times New Roman"/>
          <w:sz w:val="28"/>
          <w:szCs w:val="28"/>
          <w:lang w:val="kk-KZ"/>
        </w:rPr>
        <w:t>здігінің дамуын тудыруы мүмкін</w:t>
      </w:r>
      <w:r w:rsidRPr="009D34EB">
        <w:rPr>
          <w:rFonts w:ascii="Times New Roman" w:eastAsia="Times New Roman" w:hAnsi="Times New Roman"/>
          <w:sz w:val="28"/>
          <w:szCs w:val="28"/>
          <w:lang w:val="kk-KZ"/>
        </w:rPr>
        <w:t xml:space="preserve">. Нефроуыттылықтың әртүрлі формаларда дамуы (соның ішінде нефрит және нефротикалық синдром) </w:t>
      </w:r>
      <w:r w:rsidR="002F4335">
        <w:rPr>
          <w:rFonts w:ascii="Times New Roman" w:eastAsia="Times New Roman" w:hAnsi="Times New Roman"/>
          <w:sz w:val="28"/>
          <w:szCs w:val="28"/>
          <w:lang w:val="kk-KZ"/>
        </w:rPr>
        <w:t>ҚҚСП</w:t>
      </w:r>
      <w:r w:rsidRPr="009D34EB">
        <w:rPr>
          <w:rFonts w:ascii="Times New Roman" w:eastAsia="Times New Roman" w:hAnsi="Times New Roman"/>
          <w:sz w:val="28"/>
          <w:szCs w:val="28"/>
          <w:lang w:val="kk-KZ"/>
        </w:rPr>
        <w:t xml:space="preserve">  қолдануға байланысты (клас-спецификалық әсер)</w:t>
      </w:r>
    </w:p>
    <w:p w:rsidR="00456BA0" w:rsidRPr="002301E0" w:rsidRDefault="00456BA0" w:rsidP="00FA47DB">
      <w:pPr>
        <w:spacing w:after="0" w:line="240" w:lineRule="auto"/>
        <w:jc w:val="both"/>
        <w:rPr>
          <w:rFonts w:ascii="Times New Roman" w:eastAsia="Times New Roman" w:hAnsi="Times New Roman"/>
          <w:sz w:val="28"/>
          <w:szCs w:val="28"/>
          <w:lang w:val="kk-KZ" w:eastAsia="ru-RU"/>
        </w:rPr>
      </w:pPr>
    </w:p>
    <w:p w:rsidR="00456BA0" w:rsidRPr="002301E0" w:rsidRDefault="00456BA0" w:rsidP="00FA47DB">
      <w:pPr>
        <w:spacing w:after="0" w:line="240" w:lineRule="auto"/>
        <w:jc w:val="both"/>
        <w:rPr>
          <w:rFonts w:ascii="Times New Roman" w:eastAsia="Times New Roman" w:hAnsi="Times New Roman"/>
          <w:b/>
          <w:color w:val="000000"/>
          <w:sz w:val="28"/>
          <w:szCs w:val="28"/>
          <w:lang w:val="kk-KZ"/>
        </w:rPr>
      </w:pPr>
      <w:r w:rsidRPr="002301E0">
        <w:rPr>
          <w:rFonts w:ascii="Times New Roman" w:eastAsia="Times New Roman" w:hAnsi="Times New Roman"/>
          <w:b/>
          <w:color w:val="000000"/>
          <w:sz w:val="28"/>
          <w:szCs w:val="28"/>
          <w:lang w:val="kk-KZ"/>
        </w:rPr>
        <w:t xml:space="preserve">Жағымсыз дәрілік реакциялар туындағанда медициналық қызметкерге, фармацевтикалық қызметкерге немесе, дәрілік </w:t>
      </w:r>
      <w:r w:rsidRPr="002301E0">
        <w:rPr>
          <w:rFonts w:ascii="Times New Roman" w:eastAsia="Times New Roman" w:hAnsi="Times New Roman"/>
          <w:b/>
          <w:color w:val="000000"/>
          <w:sz w:val="28"/>
          <w:szCs w:val="28"/>
          <w:lang w:val="kk-KZ"/>
        </w:rPr>
        <w:lastRenderedPageBreak/>
        <w:t>препараттардың тиімсіздігі туралы хабарламаларды қоса, дәрілік препараттарға болатын жағымсыз реакциялар (әсерлер)  жөніндегі ақпараттық деректер базасына тікелей хабарласу керек</w:t>
      </w:r>
    </w:p>
    <w:p w:rsidR="00456BA0" w:rsidRPr="002301E0" w:rsidRDefault="00456BA0" w:rsidP="00FA47DB">
      <w:pPr>
        <w:spacing w:after="0" w:line="240" w:lineRule="auto"/>
        <w:jc w:val="both"/>
        <w:rPr>
          <w:rFonts w:ascii="Times New Roman" w:eastAsia="Times New Roman" w:hAnsi="Times New Roman"/>
          <w:color w:val="000000"/>
          <w:sz w:val="28"/>
          <w:szCs w:val="28"/>
          <w:lang w:val="kk-KZ"/>
        </w:rPr>
      </w:pPr>
      <w:r w:rsidRPr="002301E0">
        <w:rPr>
          <w:rFonts w:ascii="Times New Roman" w:eastAsia="Times New Roman" w:hAnsi="Times New Roman"/>
          <w:color w:val="000000"/>
          <w:sz w:val="28"/>
          <w:szCs w:val="28"/>
          <w:lang w:val="kk-KZ"/>
        </w:rPr>
        <w:t xml:space="preserve">Қазақстан Республикасы Денсаулық сақтау министрлігі </w:t>
      </w:r>
      <w:r w:rsidR="00823C14" w:rsidRPr="00823C14">
        <w:rPr>
          <w:rFonts w:ascii="Times New Roman" w:eastAsia="Times New Roman" w:hAnsi="Times New Roman"/>
          <w:color w:val="000000"/>
          <w:sz w:val="28"/>
          <w:szCs w:val="28"/>
          <w:lang w:val="kk-KZ"/>
        </w:rPr>
        <w:t>Медициналық және фармацевтикалық бақылау</w:t>
      </w:r>
      <w:r w:rsidR="00823C14">
        <w:rPr>
          <w:rFonts w:ascii="Times New Roman" w:eastAsia="Times New Roman" w:hAnsi="Times New Roman"/>
          <w:color w:val="000000"/>
          <w:sz w:val="28"/>
          <w:szCs w:val="28"/>
          <w:lang w:val="kk-KZ"/>
        </w:rPr>
        <w:t xml:space="preserve"> </w:t>
      </w:r>
      <w:r w:rsidR="00823C14" w:rsidRPr="00823C14">
        <w:rPr>
          <w:rFonts w:ascii="Times New Roman" w:eastAsia="Times New Roman" w:hAnsi="Times New Roman"/>
          <w:color w:val="000000"/>
          <w:sz w:val="28"/>
          <w:szCs w:val="28"/>
          <w:lang w:val="kk-KZ"/>
        </w:rPr>
        <w:t>комитеті</w:t>
      </w:r>
      <w:r w:rsidRPr="002301E0">
        <w:rPr>
          <w:rFonts w:ascii="Times New Roman" w:eastAsia="Times New Roman" w:hAnsi="Times New Roman"/>
          <w:color w:val="000000"/>
          <w:sz w:val="28"/>
          <w:szCs w:val="28"/>
          <w:lang w:val="kk-KZ"/>
        </w:rPr>
        <w:t xml:space="preserve"> «Дәрілік заттар мен медициналық бұйымдарды сараптау ұлттық орталығы» ШЖҚ РМК</w:t>
      </w:r>
    </w:p>
    <w:p w:rsidR="00456BA0" w:rsidRPr="00BB3431" w:rsidRDefault="000C6CAA" w:rsidP="00FA47DB">
      <w:pPr>
        <w:keepNext/>
        <w:spacing w:after="0" w:line="240" w:lineRule="auto"/>
        <w:jc w:val="both"/>
        <w:rPr>
          <w:rFonts w:ascii="Times New Roman" w:eastAsia="Times New Roman" w:hAnsi="Times New Roman"/>
          <w:sz w:val="28"/>
          <w:szCs w:val="28"/>
          <w:lang w:val="kk-KZ"/>
        </w:rPr>
      </w:pPr>
      <w:hyperlink r:id="rId8" w:history="1">
        <w:r w:rsidR="00456BA0" w:rsidRPr="00BB3431">
          <w:rPr>
            <w:rFonts w:ascii="Times New Roman" w:eastAsia="Times New Roman" w:hAnsi="Times New Roman"/>
            <w:color w:val="0000FF"/>
            <w:sz w:val="28"/>
            <w:szCs w:val="28"/>
            <w:u w:val="single"/>
            <w:lang w:val="kk-KZ"/>
          </w:rPr>
          <w:t>http://www.ndda.kz</w:t>
        </w:r>
      </w:hyperlink>
    </w:p>
    <w:p w:rsidR="00456BA0" w:rsidRPr="00BB3431" w:rsidRDefault="00456BA0" w:rsidP="00FA47DB">
      <w:pPr>
        <w:spacing w:after="0" w:line="240" w:lineRule="auto"/>
        <w:jc w:val="both"/>
        <w:rPr>
          <w:rFonts w:ascii="Times New Roman" w:eastAsia="Times New Roman" w:hAnsi="Times New Roman"/>
          <w:color w:val="000000"/>
          <w:sz w:val="28"/>
          <w:szCs w:val="28"/>
          <w:lang w:val="kk-KZ"/>
        </w:rPr>
      </w:pPr>
    </w:p>
    <w:p w:rsidR="00456BA0" w:rsidRPr="00BB3431" w:rsidRDefault="00456BA0" w:rsidP="00FA47DB">
      <w:pPr>
        <w:spacing w:after="0" w:line="240" w:lineRule="auto"/>
        <w:jc w:val="both"/>
        <w:rPr>
          <w:rFonts w:ascii="Times New Roman" w:eastAsia="Times New Roman" w:hAnsi="Times New Roman"/>
          <w:b/>
          <w:sz w:val="28"/>
          <w:szCs w:val="28"/>
          <w:lang w:val="kk-KZ" w:eastAsia="ru-RU"/>
        </w:rPr>
      </w:pPr>
      <w:bookmarkStart w:id="6" w:name="2175220285"/>
      <w:bookmarkEnd w:id="6"/>
      <w:r w:rsidRPr="00BB3431">
        <w:rPr>
          <w:rFonts w:ascii="Times New Roman" w:eastAsia="Times New Roman" w:hAnsi="Times New Roman"/>
          <w:b/>
          <w:sz w:val="28"/>
          <w:szCs w:val="28"/>
          <w:lang w:val="kk-KZ"/>
        </w:rPr>
        <w:t>Қосымша мәліметтер</w:t>
      </w:r>
    </w:p>
    <w:p w:rsidR="00456BA0" w:rsidRPr="00BB3431" w:rsidRDefault="00456BA0" w:rsidP="00FA47DB">
      <w:pPr>
        <w:widowControl w:val="0"/>
        <w:autoSpaceDE w:val="0"/>
        <w:autoSpaceDN w:val="0"/>
        <w:spacing w:after="0" w:line="240" w:lineRule="auto"/>
        <w:jc w:val="both"/>
        <w:rPr>
          <w:rFonts w:ascii="Times New Roman" w:eastAsia="Times New Roman" w:hAnsi="Times New Roman"/>
          <w:b/>
          <w:i/>
          <w:sz w:val="28"/>
          <w:szCs w:val="28"/>
          <w:lang w:val="kk-KZ"/>
        </w:rPr>
      </w:pPr>
      <w:r w:rsidRPr="00BB3431">
        <w:rPr>
          <w:rFonts w:ascii="Times New Roman" w:eastAsia="Times New Roman" w:hAnsi="Times New Roman"/>
          <w:b/>
          <w:i/>
          <w:sz w:val="28"/>
          <w:szCs w:val="28"/>
          <w:lang w:val="kk-KZ"/>
        </w:rPr>
        <w:t>Дәрілік препараттың құрамы</w:t>
      </w:r>
    </w:p>
    <w:p w:rsidR="00456BA0" w:rsidRPr="00BB3431" w:rsidRDefault="00456BA0" w:rsidP="00FA47DB">
      <w:pPr>
        <w:spacing w:after="0" w:line="240" w:lineRule="auto"/>
        <w:jc w:val="both"/>
        <w:rPr>
          <w:rFonts w:ascii="Times New Roman" w:eastAsia="Times New Roman" w:hAnsi="Times New Roman"/>
          <w:bCs/>
          <w:sz w:val="28"/>
          <w:szCs w:val="28"/>
          <w:lang w:val="kk-KZ" w:eastAsia="ru-RU"/>
        </w:rPr>
      </w:pPr>
      <w:bookmarkStart w:id="7" w:name="2175220286"/>
      <w:bookmarkEnd w:id="7"/>
      <w:r w:rsidRPr="00BB3431">
        <w:rPr>
          <w:rFonts w:ascii="Times New Roman" w:eastAsia="Times New Roman" w:hAnsi="Times New Roman"/>
          <w:bCs/>
          <w:sz w:val="28"/>
          <w:szCs w:val="28"/>
          <w:lang w:val="kk-KZ" w:eastAsia="ru-RU"/>
        </w:rPr>
        <w:t xml:space="preserve">Бір </w:t>
      </w:r>
      <w:r w:rsidRPr="00BB3431">
        <w:rPr>
          <w:rFonts w:ascii="Times New Roman" w:eastAsia="Times New Roman" w:hAnsi="Times New Roman"/>
          <w:sz w:val="28"/>
          <w:szCs w:val="28"/>
          <w:lang w:val="kk-KZ" w:eastAsia="ru-RU"/>
        </w:rPr>
        <w:t xml:space="preserve">қабықпен қапталған </w:t>
      </w:r>
      <w:r w:rsidRPr="00BB3431">
        <w:rPr>
          <w:rFonts w:ascii="Times New Roman" w:eastAsia="Times New Roman" w:hAnsi="Times New Roman"/>
          <w:bCs/>
          <w:sz w:val="28"/>
          <w:szCs w:val="28"/>
          <w:lang w:val="kk-KZ" w:eastAsia="ru-RU"/>
        </w:rPr>
        <w:t xml:space="preserve">таблетканың құрамында </w:t>
      </w:r>
    </w:p>
    <w:p w:rsidR="00BB3431" w:rsidRPr="00BB3431" w:rsidRDefault="00BB3431" w:rsidP="00BB3431">
      <w:pPr>
        <w:spacing w:after="0" w:line="240" w:lineRule="auto"/>
        <w:jc w:val="both"/>
        <w:rPr>
          <w:rFonts w:ascii="Times New Roman" w:hAnsi="Times New Roman"/>
          <w:sz w:val="28"/>
          <w:szCs w:val="28"/>
          <w:lang w:val="kk-KZ"/>
        </w:rPr>
      </w:pPr>
      <w:r w:rsidRPr="00BB3431">
        <w:rPr>
          <w:rFonts w:ascii="Times New Roman" w:hAnsi="Times New Roman"/>
          <w:i/>
          <w:sz w:val="28"/>
          <w:szCs w:val="28"/>
          <w:lang w:val="kk-KZ"/>
        </w:rPr>
        <w:t xml:space="preserve">белсенді зат </w:t>
      </w:r>
      <w:r w:rsidRPr="00BB3431">
        <w:rPr>
          <w:rFonts w:ascii="Times New Roman" w:hAnsi="Times New Roman"/>
          <w:sz w:val="28"/>
          <w:szCs w:val="28"/>
          <w:lang w:val="kk-KZ"/>
        </w:rPr>
        <w:t>- лорноксикам 4 мг немесе 8 мг</w:t>
      </w:r>
      <w:r w:rsidR="006F2784">
        <w:rPr>
          <w:rFonts w:ascii="Times New Roman" w:hAnsi="Times New Roman"/>
          <w:sz w:val="28"/>
          <w:szCs w:val="28"/>
          <w:lang w:val="kk-KZ"/>
        </w:rPr>
        <w:t>,</w:t>
      </w:r>
      <w:r w:rsidRPr="00BB3431">
        <w:rPr>
          <w:rFonts w:ascii="Times New Roman" w:hAnsi="Times New Roman"/>
          <w:sz w:val="28"/>
          <w:szCs w:val="28"/>
          <w:lang w:val="kk-KZ"/>
        </w:rPr>
        <w:t xml:space="preserve"> </w:t>
      </w:r>
    </w:p>
    <w:p w:rsidR="00456BA0" w:rsidRPr="00BB3431" w:rsidRDefault="00456BA0" w:rsidP="00FA47DB">
      <w:pPr>
        <w:spacing w:after="0" w:line="240" w:lineRule="auto"/>
        <w:jc w:val="both"/>
        <w:rPr>
          <w:rFonts w:ascii="Times New Roman" w:eastAsia="Times New Roman" w:hAnsi="Times New Roman"/>
          <w:sz w:val="28"/>
          <w:szCs w:val="28"/>
          <w:lang w:val="kk-KZ"/>
        </w:rPr>
      </w:pPr>
      <w:r w:rsidRPr="00BB3431">
        <w:rPr>
          <w:rFonts w:ascii="Times New Roman" w:eastAsia="Times New Roman" w:hAnsi="Times New Roman"/>
          <w:i/>
          <w:sz w:val="28"/>
          <w:szCs w:val="28"/>
          <w:lang w:val="kk-KZ"/>
        </w:rPr>
        <w:t xml:space="preserve">қосымша заттар: </w:t>
      </w:r>
      <w:r w:rsidRPr="00BB3431">
        <w:rPr>
          <w:rFonts w:ascii="Times New Roman" w:eastAsia="Times New Roman" w:hAnsi="Times New Roman"/>
          <w:sz w:val="28"/>
          <w:szCs w:val="28"/>
          <w:lang w:val="kk-KZ"/>
        </w:rPr>
        <w:t xml:space="preserve">магний стеараты, повидон, натрий кроскармеллозасы, микрокристалды целлюлоза, лактоза моногидраты, </w:t>
      </w:r>
    </w:p>
    <w:p w:rsidR="00456BA0" w:rsidRPr="00BB3431" w:rsidRDefault="00456BA0" w:rsidP="00FA47DB">
      <w:pPr>
        <w:spacing w:after="0" w:line="240" w:lineRule="auto"/>
        <w:jc w:val="both"/>
        <w:rPr>
          <w:rFonts w:ascii="Times New Roman" w:eastAsia="Times New Roman" w:hAnsi="Times New Roman"/>
          <w:i/>
          <w:sz w:val="28"/>
          <w:szCs w:val="28"/>
          <w:lang w:val="kk-KZ"/>
        </w:rPr>
      </w:pPr>
      <w:r w:rsidRPr="00BB3431">
        <w:rPr>
          <w:rFonts w:ascii="Times New Roman" w:eastAsia="Times New Roman" w:hAnsi="Times New Roman"/>
          <w:i/>
          <w:sz w:val="28"/>
          <w:szCs w:val="28"/>
          <w:lang w:val="kk-KZ"/>
        </w:rPr>
        <w:t>қабық құрамы:</w:t>
      </w:r>
      <w:r w:rsidRPr="00BB3431">
        <w:rPr>
          <w:rFonts w:ascii="Times New Roman" w:eastAsia="Times New Roman" w:hAnsi="Times New Roman"/>
          <w:sz w:val="28"/>
          <w:szCs w:val="28"/>
          <w:lang w:val="kk-KZ"/>
        </w:rPr>
        <w:t xml:space="preserve"> Опадрай ақ OY-S-28924 (гипромеллоза, титанның қостотығы (Е171), полиэтиленгликоль/макрогол).</w:t>
      </w:r>
    </w:p>
    <w:p w:rsidR="00456BA0" w:rsidRPr="002301E0" w:rsidRDefault="00456BA0" w:rsidP="00FA47DB">
      <w:pPr>
        <w:spacing w:after="0" w:line="240" w:lineRule="auto"/>
        <w:jc w:val="both"/>
        <w:rPr>
          <w:rFonts w:ascii="Times New Roman" w:eastAsia="Times New Roman" w:hAnsi="Times New Roman"/>
          <w:b/>
          <w:i/>
          <w:sz w:val="28"/>
          <w:szCs w:val="28"/>
          <w:lang w:val="kk-KZ" w:eastAsia="ru-RU"/>
        </w:rPr>
      </w:pPr>
      <w:r w:rsidRPr="00BB3431">
        <w:rPr>
          <w:rFonts w:ascii="Times New Roman" w:eastAsia="Times New Roman" w:hAnsi="Times New Roman"/>
          <w:b/>
          <w:i/>
          <w:sz w:val="28"/>
          <w:szCs w:val="28"/>
          <w:lang w:val="kk-KZ" w:eastAsia="ru-RU"/>
        </w:rPr>
        <w:t>Сыртқы түрінің,</w:t>
      </w:r>
      <w:r w:rsidRPr="002301E0">
        <w:rPr>
          <w:rFonts w:ascii="Times New Roman" w:eastAsia="Times New Roman" w:hAnsi="Times New Roman"/>
          <w:b/>
          <w:i/>
          <w:sz w:val="28"/>
          <w:szCs w:val="28"/>
          <w:lang w:val="kk-KZ" w:eastAsia="ru-RU"/>
        </w:rPr>
        <w:t xml:space="preserve"> иісінің, дәмінің сипаттамасы </w:t>
      </w:r>
    </w:p>
    <w:p w:rsidR="00456BA0" w:rsidRPr="002301E0" w:rsidRDefault="00456BA0" w:rsidP="00FA47DB">
      <w:pPr>
        <w:spacing w:after="0" w:line="240" w:lineRule="auto"/>
        <w:jc w:val="both"/>
        <w:rPr>
          <w:rFonts w:ascii="Times New Roman" w:eastAsia="Times New Roman" w:hAnsi="Times New Roman"/>
          <w:sz w:val="28"/>
          <w:szCs w:val="28"/>
          <w:lang w:val="kk-KZ" w:eastAsia="ru-RU"/>
        </w:rPr>
      </w:pPr>
      <w:r w:rsidRPr="002301E0">
        <w:rPr>
          <w:rFonts w:ascii="Times New Roman" w:eastAsia="Times New Roman" w:hAnsi="Times New Roman"/>
          <w:sz w:val="28"/>
          <w:szCs w:val="28"/>
          <w:lang w:val="kk-KZ" w:eastAsia="ru-RU"/>
        </w:rPr>
        <w:t>Екі жақ беті дөңес дөңгелек пішінді, бір жағында сызығы бар ақ немесе ақ дерлік түсті қабықпен қапталған таблеткалар (4 мг доза үшін).</w:t>
      </w:r>
    </w:p>
    <w:p w:rsidR="00456BA0" w:rsidRPr="002301E0" w:rsidRDefault="00456BA0" w:rsidP="00FA47DB">
      <w:pPr>
        <w:spacing w:after="0" w:line="240" w:lineRule="auto"/>
        <w:jc w:val="both"/>
        <w:rPr>
          <w:rFonts w:ascii="Times New Roman" w:eastAsia="Times New Roman" w:hAnsi="Times New Roman"/>
          <w:sz w:val="28"/>
          <w:szCs w:val="28"/>
          <w:lang w:val="kk-KZ" w:eastAsia="ru-RU"/>
        </w:rPr>
      </w:pPr>
      <w:r w:rsidRPr="002301E0">
        <w:rPr>
          <w:rFonts w:ascii="Times New Roman" w:eastAsia="Times New Roman" w:hAnsi="Times New Roman"/>
          <w:sz w:val="28"/>
          <w:szCs w:val="28"/>
          <w:lang w:val="kk-KZ" w:eastAsia="ru-RU"/>
        </w:rPr>
        <w:t>Екі жақ беті дөңес дөңгелек пішінді, ақ немесе ақ дерлік түсті қабықпен қапталған таблеткалар (8 мг доза үшін).</w:t>
      </w:r>
    </w:p>
    <w:p w:rsidR="00456BA0" w:rsidRPr="002301E0" w:rsidRDefault="00456BA0" w:rsidP="00FA47DB">
      <w:pPr>
        <w:spacing w:after="0" w:line="240" w:lineRule="auto"/>
        <w:jc w:val="both"/>
        <w:rPr>
          <w:rFonts w:ascii="Times New Roman" w:eastAsia="Times New Roman" w:hAnsi="Times New Roman"/>
          <w:sz w:val="28"/>
          <w:szCs w:val="28"/>
          <w:lang w:val="kk-KZ" w:eastAsia="ru-RU"/>
        </w:rPr>
      </w:pP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bookmarkStart w:id="8" w:name="2175220287"/>
      <w:bookmarkEnd w:id="8"/>
      <w:r w:rsidRPr="002301E0">
        <w:rPr>
          <w:rFonts w:ascii="Times New Roman" w:eastAsia="Times New Roman" w:hAnsi="Times New Roman"/>
          <w:b/>
          <w:sz w:val="28"/>
          <w:szCs w:val="28"/>
          <w:lang w:val="kk-KZ" w:eastAsia="ru-RU"/>
        </w:rPr>
        <w:t xml:space="preserve">Шығарылу түрі және қаптамасы  </w:t>
      </w:r>
    </w:p>
    <w:p w:rsidR="00456BA0" w:rsidRPr="002301E0" w:rsidRDefault="00456BA0" w:rsidP="00FA47DB">
      <w:pPr>
        <w:spacing w:after="0" w:line="240" w:lineRule="auto"/>
        <w:jc w:val="both"/>
        <w:rPr>
          <w:rFonts w:ascii="Times New Roman" w:eastAsia="Times New Roman" w:hAnsi="Times New Roman"/>
          <w:sz w:val="28"/>
          <w:szCs w:val="28"/>
          <w:lang w:val="kk-KZ" w:eastAsia="ru-RU"/>
        </w:rPr>
      </w:pPr>
      <w:r w:rsidRPr="002301E0">
        <w:rPr>
          <w:rFonts w:ascii="Times New Roman" w:eastAsia="Times New Roman" w:hAnsi="Times New Roman"/>
          <w:sz w:val="28"/>
          <w:szCs w:val="28"/>
          <w:lang w:val="kk-KZ" w:eastAsia="ru-RU"/>
        </w:rPr>
        <w:t xml:space="preserve">6 немесе 10 таблеткадан поливинилхлоридті үлбірден және баспалы алюминий фольгадан жасалған пішінді ұяшықты қаптамаға салады. </w:t>
      </w:r>
    </w:p>
    <w:p w:rsidR="00456BA0" w:rsidRPr="002301E0" w:rsidRDefault="00456BA0" w:rsidP="00FA47DB">
      <w:pPr>
        <w:spacing w:after="0" w:line="240" w:lineRule="auto"/>
        <w:jc w:val="both"/>
        <w:rPr>
          <w:rFonts w:ascii="Times New Roman" w:eastAsia="Times New Roman" w:hAnsi="Times New Roman"/>
          <w:sz w:val="28"/>
          <w:szCs w:val="28"/>
          <w:lang w:val="kk-KZ" w:eastAsia="ru-RU"/>
        </w:rPr>
      </w:pPr>
      <w:r w:rsidRPr="002301E0">
        <w:rPr>
          <w:rFonts w:ascii="Times New Roman" w:eastAsia="Times New Roman" w:hAnsi="Times New Roman"/>
          <w:sz w:val="28"/>
          <w:szCs w:val="28"/>
          <w:lang w:val="kk-KZ" w:eastAsia="ru-RU"/>
        </w:rPr>
        <w:t xml:space="preserve">1 (6 немесе 10 таблетка) немесе 3 (10 таблетка) пішінді ұяшықты қаптамадан медициналық қолдану жөніндегі қазақ және орыс тілдеріндегі нұсқаулықпен бірге картоннан жасалған қорапшаға салынады.  </w:t>
      </w:r>
    </w:p>
    <w:p w:rsidR="003978ED" w:rsidRDefault="003978ED" w:rsidP="00FA47DB">
      <w:pPr>
        <w:spacing w:after="0" w:line="240" w:lineRule="auto"/>
        <w:jc w:val="both"/>
        <w:rPr>
          <w:rFonts w:ascii="Times New Roman" w:eastAsia="Times New Roman" w:hAnsi="Times New Roman"/>
          <w:b/>
          <w:sz w:val="28"/>
          <w:szCs w:val="28"/>
          <w:lang w:val="kk-KZ" w:eastAsia="ru-RU"/>
        </w:rPr>
      </w:pP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r w:rsidRPr="002301E0">
        <w:rPr>
          <w:rFonts w:ascii="Times New Roman" w:eastAsia="Times New Roman" w:hAnsi="Times New Roman"/>
          <w:b/>
          <w:sz w:val="28"/>
          <w:szCs w:val="28"/>
          <w:lang w:val="kk-KZ" w:eastAsia="ru-RU"/>
        </w:rPr>
        <w:t xml:space="preserve">Сақтау мерзімі </w:t>
      </w:r>
    </w:p>
    <w:p w:rsidR="00456BA0" w:rsidRPr="002301E0" w:rsidRDefault="00684918" w:rsidP="00FA47DB">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4</w:t>
      </w:r>
      <w:r w:rsidR="00456BA0" w:rsidRPr="002301E0">
        <w:rPr>
          <w:rFonts w:ascii="Times New Roman" w:eastAsia="Times New Roman" w:hAnsi="Times New Roman"/>
          <w:sz w:val="28"/>
          <w:szCs w:val="28"/>
          <w:lang w:val="kk-KZ" w:eastAsia="ru-RU"/>
        </w:rPr>
        <w:t xml:space="preserve"> жыл.</w:t>
      </w:r>
    </w:p>
    <w:p w:rsidR="00456BA0" w:rsidRPr="002301E0" w:rsidRDefault="00456BA0" w:rsidP="00FA47DB">
      <w:pPr>
        <w:spacing w:after="0" w:line="240" w:lineRule="auto"/>
        <w:jc w:val="both"/>
        <w:rPr>
          <w:rFonts w:ascii="Times New Roman" w:eastAsia="Times New Roman" w:hAnsi="Times New Roman"/>
          <w:sz w:val="28"/>
          <w:szCs w:val="28"/>
          <w:lang w:val="kk-KZ" w:eastAsia="ru-RU"/>
        </w:rPr>
      </w:pPr>
      <w:r w:rsidRPr="002301E0">
        <w:rPr>
          <w:rFonts w:ascii="Times New Roman" w:eastAsia="Times New Roman" w:hAnsi="Times New Roman"/>
          <w:sz w:val="28"/>
          <w:szCs w:val="28"/>
          <w:lang w:val="kk-KZ" w:eastAsia="ru-RU"/>
        </w:rPr>
        <w:t>Жарамдылық мерзімі өткеннен кейін қолдануға болмайды.</w:t>
      </w:r>
    </w:p>
    <w:p w:rsidR="00456BA0" w:rsidRPr="002301E0" w:rsidRDefault="00456BA0" w:rsidP="00FA47DB">
      <w:pPr>
        <w:spacing w:after="0" w:line="240" w:lineRule="auto"/>
        <w:jc w:val="both"/>
        <w:rPr>
          <w:rFonts w:ascii="Times New Roman" w:eastAsia="Times New Roman" w:hAnsi="Times New Roman"/>
          <w:b/>
          <w:i/>
          <w:sz w:val="28"/>
          <w:szCs w:val="28"/>
          <w:lang w:val="kk-KZ" w:eastAsia="ru-RU"/>
        </w:rPr>
      </w:pPr>
      <w:r w:rsidRPr="002301E0">
        <w:rPr>
          <w:rFonts w:ascii="Times New Roman" w:eastAsia="Times New Roman" w:hAnsi="Times New Roman"/>
          <w:b/>
          <w:i/>
          <w:sz w:val="28"/>
          <w:szCs w:val="28"/>
          <w:lang w:val="kk-KZ" w:eastAsia="ru-RU"/>
        </w:rPr>
        <w:t>Сақтау шарттары</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25°С-ден аспайтын температурада сақтау керек.</w:t>
      </w:r>
    </w:p>
    <w:p w:rsidR="00456BA0" w:rsidRPr="002301E0" w:rsidRDefault="00456BA0" w:rsidP="00FA47DB">
      <w:pPr>
        <w:spacing w:after="0" w:line="240" w:lineRule="auto"/>
        <w:jc w:val="both"/>
        <w:rPr>
          <w:rFonts w:ascii="Times New Roman" w:eastAsia="Times New Roman" w:hAnsi="Times New Roman"/>
          <w:sz w:val="28"/>
          <w:szCs w:val="28"/>
          <w:highlight w:val="yellow"/>
          <w:lang w:val="kk-KZ"/>
        </w:rPr>
      </w:pPr>
      <w:r w:rsidRPr="002301E0">
        <w:rPr>
          <w:rFonts w:ascii="Times New Roman" w:eastAsia="Times New Roman" w:hAnsi="Times New Roman"/>
          <w:sz w:val="28"/>
          <w:szCs w:val="28"/>
          <w:lang w:val="kk-KZ"/>
        </w:rPr>
        <w:t>Балалардың қолы жетпейтін жерде сақтау керек!</w:t>
      </w:r>
      <w:r w:rsidR="00945527">
        <w:rPr>
          <w:rFonts w:ascii="Times New Roman" w:eastAsia="Times New Roman" w:hAnsi="Times New Roman"/>
          <w:sz w:val="28"/>
          <w:szCs w:val="28"/>
          <w:lang w:val="kk-KZ"/>
        </w:rPr>
        <w:t xml:space="preserve"> </w:t>
      </w:r>
    </w:p>
    <w:p w:rsidR="00456BA0" w:rsidRPr="002301E0" w:rsidRDefault="00456BA0" w:rsidP="00FA47DB">
      <w:pPr>
        <w:spacing w:after="0" w:line="240" w:lineRule="auto"/>
        <w:jc w:val="both"/>
        <w:rPr>
          <w:rFonts w:ascii="Times New Roman" w:eastAsia="Times New Roman" w:hAnsi="Times New Roman"/>
          <w:b/>
          <w:color w:val="000000"/>
          <w:sz w:val="28"/>
          <w:szCs w:val="28"/>
          <w:lang w:val="kk-KZ"/>
        </w:rPr>
      </w:pPr>
    </w:p>
    <w:p w:rsidR="00456BA0" w:rsidRPr="002301E0" w:rsidRDefault="00456BA0" w:rsidP="00FA47DB">
      <w:pPr>
        <w:autoSpaceDE w:val="0"/>
        <w:autoSpaceDN w:val="0"/>
        <w:adjustRightInd w:val="0"/>
        <w:spacing w:after="0" w:line="240" w:lineRule="auto"/>
        <w:jc w:val="both"/>
        <w:rPr>
          <w:rFonts w:ascii="Times New Roman" w:eastAsia="Times New Roman" w:hAnsi="Times New Roman"/>
          <w:b/>
          <w:bCs/>
          <w:sz w:val="28"/>
          <w:szCs w:val="28"/>
          <w:lang w:val="kk-KZ"/>
        </w:rPr>
      </w:pPr>
      <w:r w:rsidRPr="002301E0">
        <w:rPr>
          <w:rFonts w:ascii="Times New Roman" w:eastAsia="Times New Roman" w:hAnsi="Times New Roman"/>
          <w:b/>
          <w:bCs/>
          <w:sz w:val="28"/>
          <w:szCs w:val="28"/>
          <w:lang w:val="kk-KZ"/>
        </w:rPr>
        <w:t>Дәріханалардан босатылу шарттары</w:t>
      </w:r>
    </w:p>
    <w:p w:rsidR="00456BA0" w:rsidRPr="002301E0" w:rsidRDefault="00456BA0" w:rsidP="00FA47DB">
      <w:pPr>
        <w:suppressAutoHyphens/>
        <w:autoSpaceDN w:val="0"/>
        <w:spacing w:after="0" w:line="240" w:lineRule="auto"/>
        <w:jc w:val="both"/>
        <w:textAlignment w:val="baseline"/>
        <w:rPr>
          <w:rFonts w:ascii="Times New Roman" w:eastAsia="Times New Roman" w:hAnsi="Times New Roman"/>
          <w:kern w:val="3"/>
          <w:sz w:val="28"/>
          <w:szCs w:val="28"/>
          <w:lang w:val="kk-KZ" w:eastAsia="ru-RU"/>
        </w:rPr>
      </w:pPr>
      <w:r w:rsidRPr="002301E0">
        <w:rPr>
          <w:rFonts w:ascii="Times New Roman" w:eastAsia="Times New Roman" w:hAnsi="Times New Roman"/>
          <w:kern w:val="3"/>
          <w:sz w:val="28"/>
          <w:szCs w:val="28"/>
          <w:lang w:val="kk-KZ" w:eastAsia="ru-RU"/>
        </w:rPr>
        <w:t>Рецептісіз</w:t>
      </w: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r w:rsidRPr="002301E0">
        <w:rPr>
          <w:rFonts w:ascii="Times New Roman" w:eastAsia="Times New Roman" w:hAnsi="Times New Roman"/>
          <w:b/>
          <w:sz w:val="28"/>
          <w:szCs w:val="28"/>
          <w:lang w:val="kk-KZ" w:eastAsia="ru-RU"/>
        </w:rPr>
        <w:t xml:space="preserve">Өндіруші туралы мәліметтер </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«ВИВА ФАРМ» ЖШС, Қазақстан Республикасы </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Алматы қ., Дегдар к-сі, 33</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Тел.: +7 (727) 383 74 63, факс: +7 (727) 383 74 56 </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Электронды пошта: </w:t>
      </w:r>
      <w:hyperlink r:id="rId9" w:history="1">
        <w:r w:rsidRPr="002301E0">
          <w:rPr>
            <w:rFonts w:ascii="Times New Roman" w:eastAsia="Times New Roman" w:hAnsi="Times New Roman"/>
            <w:color w:val="0000FF"/>
            <w:sz w:val="28"/>
            <w:szCs w:val="28"/>
            <w:u w:val="single"/>
            <w:lang w:val="kk-KZ"/>
          </w:rPr>
          <w:t>pv@vivapharm.kz</w:t>
        </w:r>
      </w:hyperlink>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r w:rsidRPr="002301E0">
        <w:rPr>
          <w:rFonts w:ascii="Times New Roman" w:eastAsia="Times New Roman" w:hAnsi="Times New Roman"/>
          <w:b/>
          <w:sz w:val="28"/>
          <w:szCs w:val="28"/>
          <w:lang w:val="kk-KZ" w:eastAsia="ru-RU"/>
        </w:rPr>
        <w:lastRenderedPageBreak/>
        <w:t xml:space="preserve">Тіркеу куәлігінің ұстаушысы </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«ВИВА ФАРМ» ЖШС, Қазақстан Республикасы </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Алматы қ., Дегдар к-сі, 33</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Тел.: +7 (727) 383 74 63, факс: +7 (727) 383 74 56 </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Электронды пошта: </w:t>
      </w:r>
      <w:hyperlink r:id="rId10" w:history="1">
        <w:r w:rsidRPr="002301E0">
          <w:rPr>
            <w:rFonts w:ascii="Times New Roman" w:eastAsia="Times New Roman" w:hAnsi="Times New Roman"/>
            <w:color w:val="0000FF"/>
            <w:sz w:val="28"/>
            <w:szCs w:val="28"/>
            <w:u w:val="single"/>
            <w:lang w:val="kk-KZ"/>
          </w:rPr>
          <w:t>pv@vivapharm.kz</w:t>
        </w:r>
      </w:hyperlink>
      <w:r w:rsidRPr="002301E0">
        <w:rPr>
          <w:rFonts w:ascii="Times New Roman" w:eastAsia="Times New Roman" w:hAnsi="Times New Roman"/>
          <w:color w:val="0000FF"/>
          <w:sz w:val="28"/>
          <w:szCs w:val="28"/>
          <w:u w:val="single"/>
          <w:lang w:val="kk-KZ"/>
        </w:rPr>
        <w:t xml:space="preserve"> </w:t>
      </w:r>
    </w:p>
    <w:p w:rsidR="00456BA0" w:rsidRPr="002301E0" w:rsidRDefault="00456BA0" w:rsidP="00FA47DB">
      <w:pPr>
        <w:keepNext/>
        <w:keepLines/>
        <w:spacing w:after="0" w:line="240" w:lineRule="auto"/>
        <w:jc w:val="both"/>
        <w:outlineLvl w:val="0"/>
        <w:rPr>
          <w:rFonts w:ascii="Times New Roman" w:eastAsia="Times New Roman" w:hAnsi="Times New Roman"/>
          <w:b/>
          <w:bCs/>
          <w:color w:val="365F91"/>
          <w:sz w:val="28"/>
          <w:szCs w:val="28"/>
          <w:lang w:val="kk-KZ"/>
        </w:rPr>
      </w:pPr>
    </w:p>
    <w:p w:rsidR="00456BA0" w:rsidRPr="002301E0" w:rsidRDefault="00456BA0" w:rsidP="00FA47DB">
      <w:pPr>
        <w:spacing w:after="0" w:line="240" w:lineRule="auto"/>
        <w:jc w:val="both"/>
        <w:rPr>
          <w:rFonts w:ascii="Times New Roman" w:eastAsia="Times New Roman" w:hAnsi="Times New Roman"/>
          <w:b/>
          <w:color w:val="000000"/>
          <w:sz w:val="28"/>
          <w:szCs w:val="28"/>
          <w:lang w:val="kk-KZ" w:eastAsia="ru-RU"/>
        </w:rPr>
      </w:pPr>
      <w:r w:rsidRPr="002301E0">
        <w:rPr>
          <w:rFonts w:ascii="Times New Roman" w:eastAsia="Times New Roman" w:hAnsi="Times New Roman"/>
          <w:b/>
          <w:color w:val="000000"/>
          <w:sz w:val="28"/>
          <w:szCs w:val="28"/>
          <w:lang w:val="kk-KZ"/>
        </w:rPr>
        <w:t xml:space="preserve">Қазақстан Республикасы аумағында тұтынушылардан дәрілік заттар сапасына қатысты шағымдар (ұсыныстар)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 </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«ВИВА ФАРМ» ЖШС, Қазақстан Республикасы </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050030, Алматы қ., Дегдар к-сі, 33</w:t>
      </w:r>
    </w:p>
    <w:p w:rsidR="00456BA0" w:rsidRPr="002301E0" w:rsidRDefault="00456BA0" w:rsidP="00FA47DB">
      <w:pPr>
        <w:spacing w:after="0" w:line="240" w:lineRule="auto"/>
        <w:jc w:val="both"/>
        <w:rPr>
          <w:rFonts w:ascii="Times New Roman" w:eastAsia="Times New Roman" w:hAnsi="Times New Roman"/>
          <w:sz w:val="28"/>
          <w:szCs w:val="28"/>
          <w:lang w:val="kk-KZ"/>
        </w:rPr>
      </w:pPr>
      <w:r w:rsidRPr="002301E0">
        <w:rPr>
          <w:rFonts w:ascii="Times New Roman" w:eastAsia="Times New Roman" w:hAnsi="Times New Roman"/>
          <w:sz w:val="28"/>
          <w:szCs w:val="28"/>
          <w:lang w:val="kk-KZ"/>
        </w:rPr>
        <w:t xml:space="preserve">Тел.: +7 (727) 383 74 63, факс: +7 (727) 383 74 56 </w:t>
      </w:r>
    </w:p>
    <w:p w:rsidR="00456BA0" w:rsidRPr="002301E0" w:rsidRDefault="00456BA0" w:rsidP="00FA47DB">
      <w:pPr>
        <w:spacing w:after="0" w:line="240" w:lineRule="auto"/>
        <w:jc w:val="both"/>
        <w:rPr>
          <w:rFonts w:ascii="Times New Roman" w:eastAsia="Times New Roman" w:hAnsi="Times New Roman"/>
          <w:b/>
          <w:sz w:val="28"/>
          <w:szCs w:val="28"/>
          <w:lang w:val="kk-KZ" w:eastAsia="ru-RU"/>
        </w:rPr>
      </w:pPr>
      <w:r w:rsidRPr="002301E0">
        <w:rPr>
          <w:rFonts w:ascii="Times New Roman" w:eastAsia="Times New Roman" w:hAnsi="Times New Roman"/>
          <w:sz w:val="28"/>
          <w:szCs w:val="28"/>
          <w:lang w:val="kk-KZ"/>
        </w:rPr>
        <w:t xml:space="preserve">Электронды пошта: </w:t>
      </w:r>
      <w:hyperlink r:id="rId11" w:history="1">
        <w:r w:rsidRPr="002301E0">
          <w:rPr>
            <w:rFonts w:ascii="Times New Roman" w:eastAsia="Times New Roman" w:hAnsi="Times New Roman"/>
            <w:color w:val="0000FF"/>
            <w:sz w:val="28"/>
            <w:szCs w:val="28"/>
            <w:u w:val="single"/>
            <w:lang w:val="kk-KZ"/>
          </w:rPr>
          <w:t>pv@vivapharm.kz</w:t>
        </w:r>
      </w:hyperlink>
      <w:r w:rsidRPr="002301E0">
        <w:rPr>
          <w:rFonts w:ascii="Times New Roman" w:eastAsia="Times New Roman" w:hAnsi="Times New Roman"/>
          <w:color w:val="0000FF"/>
          <w:sz w:val="28"/>
          <w:szCs w:val="28"/>
          <w:u w:val="single"/>
          <w:lang w:val="kk-KZ"/>
        </w:rPr>
        <w:t xml:space="preserve"> </w:t>
      </w:r>
    </w:p>
    <w:p w:rsidR="002C76D7" w:rsidRPr="002301E0" w:rsidRDefault="00EA03B6" w:rsidP="00FA47DB">
      <w:pPr>
        <w:spacing w:line="240" w:lineRule="auto"/>
        <w:rPr>
          <w:sz w:val="28"/>
          <w:szCs w:val="28"/>
        </w:rPr>
      </w:pPr>
      <w:r w:rsidRPr="002301E0">
        <w:rPr>
          <w:rStyle w:val="af"/>
          <w:color w:val="auto"/>
          <w:sz w:val="28"/>
          <w:szCs w:val="28"/>
          <w:u w:val="none"/>
        </w:rPr>
        <w:t xml:space="preserve"> </w:t>
      </w:r>
      <w:bookmarkStart w:id="9" w:name="_GoBack"/>
      <w:bookmarkEnd w:id="9"/>
    </w:p>
    <w:sectPr w:rsidR="002C76D7" w:rsidRPr="002301E0" w:rsidSect="00224E1B">
      <w:headerReference w:type="default" r:id="rId12"/>
      <w:footerReference w:type="even" r:id="rId13"/>
      <w:footerReference w:type="firs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AA" w:rsidRDefault="000C6CAA" w:rsidP="00D275FC">
      <w:pPr>
        <w:spacing w:after="0" w:line="240" w:lineRule="auto"/>
      </w:pPr>
      <w:r>
        <w:separator/>
      </w:r>
    </w:p>
  </w:endnote>
  <w:endnote w:type="continuationSeparator" w:id="0">
    <w:p w:rsidR="000C6CAA" w:rsidRDefault="000C6CAA" w:rsidP="00D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C6CAA"/>
  <w:p w:rsidR="00421F8A" w:rsidRDefault="000C6CAA">
    <w:r>
      <w:rPr>
        <w:rFonts w:ascii="Times New Roman" w:eastAsia="Times New Roman" w:hAnsi="Times New Roman"/>
      </w:rPr>
      <w:t>Шешімі: N066033</w:t>
    </w:r>
    <w:r>
      <w:rPr>
        <w:rFonts w:ascii="Times New Roman" w:eastAsia="Times New Roman" w:hAnsi="Times New Roman"/>
      </w:rPr>
      <w:br/>
      <w:t>Шешім тіркелген күні: 08.08.2023</w:t>
    </w:r>
    <w:r>
      <w:rPr>
        <w:rFonts w:ascii="Times New Roman" w:eastAsia="Times New Roman" w:hAnsi="Times New Roman"/>
      </w:rPr>
      <w:br/>
      <w:t xml:space="preserve">Мемлекеттік орган басшысының (немесе уәкілетті </w:t>
    </w:r>
    <w:r>
      <w:rPr>
        <w:rFonts w:ascii="Times New Roman" w:eastAsia="Times New Roman" w:hAnsi="Times New Roman"/>
      </w:rPr>
      <w:t>тұлғаның) тегі, аты, әкесінің аты (бар болса): Кашкымбаева Л. Р.</w:t>
    </w:r>
    <w:r>
      <w:rPr>
        <w:rFonts w:ascii="Times New Roman" w:eastAsia="Times New Roman" w:hAnsi="Times New Roman"/>
      </w:rPr>
      <w:br/>
      <w:t>(Қазақстан Республикасы Денсаулық сақтау министрлігінің Медициналық және фармацевтикалық бақылау комитеті)</w:t>
    </w:r>
    <w:r>
      <w:rPr>
        <w:rFonts w:ascii="Times New Roman" w:eastAsia="Times New Roman" w:hAnsi="Times New Roman"/>
      </w:rPr>
      <w:br/>
      <w:t>Осы құжат «Электронды құжат және электрондық цифрлы қол қою жөнінде» 2003 жылғы 7 қа</w:t>
    </w:r>
    <w:r>
      <w:rPr>
        <w:rFonts w:ascii="Times New Roman" w:eastAsia="Times New Roman" w:hAnsi="Times New Roman"/>
      </w:rPr>
      <w:t>ңтардағы ҚРЗ 7-бабы 1-тармағына сәйкес қағаз түріндегі құжатқа тең</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C6CAA"/>
  <w:p w:rsidR="00421F8A" w:rsidRDefault="000C6CAA">
    <w:r>
      <w:rPr>
        <w:rFonts w:ascii="Times New Roman" w:eastAsia="Times New Roman" w:hAnsi="Times New Roman"/>
      </w:rPr>
      <w:t>Шешімі: N066033</w:t>
    </w:r>
    <w:r>
      <w:rPr>
        <w:rFonts w:ascii="Times New Roman" w:eastAsia="Times New Roman" w:hAnsi="Times New Roman"/>
      </w:rPr>
      <w:br/>
      <w:t>Шешім тіркелген күні: 08.08.2023</w:t>
    </w:r>
    <w:r>
      <w:rPr>
        <w:rFonts w:ascii="Times New Roman" w:eastAsia="Times New Roman" w:hAnsi="Times New Roman"/>
      </w:rPr>
      <w:br/>
      <w:t>Мемлекеттік орган басшысының (немесе уәкілетті тұлғаның) тегі, аты, әкесінің аты (бар болса): Кашкымбаева Л. Р.</w:t>
    </w:r>
    <w:r>
      <w:rPr>
        <w:rFonts w:ascii="Times New Roman" w:eastAsia="Times New Roman" w:hAnsi="Times New Roman"/>
      </w:rPr>
      <w:br/>
      <w:t xml:space="preserve">(Қазақстан Республикасы </w:t>
    </w:r>
    <w:r>
      <w:rPr>
        <w:rFonts w:ascii="Times New Roman" w:eastAsia="Times New Roman" w:hAnsi="Times New Roman"/>
      </w:rPr>
      <w:t>Денсаулық сақтау министрлігінің Медициналық және фармацевтикалық бақылау комитеті)</w:t>
    </w:r>
    <w:r>
      <w:rPr>
        <w:rFonts w:ascii="Times New Roman" w:eastAsia="Times New Roman" w:hAnsi="Times New Roman"/>
      </w:rPr>
      <w:br/>
      <w:t>Осы құжат «Электронды құжат және электрондық цифрлы қол қою жөнінде» 2003 жылғы 7 қаңтардағы ҚРЗ 7-бабы 1-тармағына сәйкес қағаз түріндегі құжатқа тең</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AA" w:rsidRDefault="000C6CAA" w:rsidP="00D275FC">
      <w:pPr>
        <w:spacing w:after="0" w:line="240" w:lineRule="auto"/>
      </w:pPr>
      <w:r>
        <w:separator/>
      </w:r>
    </w:p>
  </w:footnote>
  <w:footnote w:type="continuationSeparator" w:id="0">
    <w:p w:rsidR="000C6CAA" w:rsidRDefault="000C6CAA" w:rsidP="00D27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4B303D">
    <w:pPr>
      <w:pStyle w:val="af1"/>
    </w:pP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2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" filled="f" stroked="f" strokeweight=".5pt">
              <v:path arrowok="t"/>
              <v:textbox style="layout-flow:vertical;mso-layout-flow-alt:bottom-to-top">
                <w:txbxContent>
                  <w:p w:rsidR="00D275FC" w:rsidRPr="00D275FC" w:rsidRDefault="00D275F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451E"/>
    <w:multiLevelType w:val="hybridMultilevel"/>
    <w:tmpl w:val="9B2EADEA"/>
    <w:lvl w:ilvl="0" w:tplc="F022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586761"/>
    <w:multiLevelType w:val="hybridMultilevel"/>
    <w:tmpl w:val="A496B1EC"/>
    <w:lvl w:ilvl="0" w:tplc="461C060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B23F2"/>
    <w:multiLevelType w:val="hybridMultilevel"/>
    <w:tmpl w:val="436037DC"/>
    <w:lvl w:ilvl="0" w:tplc="12CA43D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C6D25"/>
    <w:multiLevelType w:val="hybridMultilevel"/>
    <w:tmpl w:val="05304BB0"/>
    <w:lvl w:ilvl="0" w:tplc="F022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0B7216"/>
    <w:multiLevelType w:val="hybridMultilevel"/>
    <w:tmpl w:val="EA92A7E8"/>
    <w:lvl w:ilvl="0" w:tplc="12CA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F62FB"/>
    <w:multiLevelType w:val="hybridMultilevel"/>
    <w:tmpl w:val="0030AE60"/>
    <w:lvl w:ilvl="0" w:tplc="461C0608">
      <w:start w:val="1"/>
      <w:numFmt w:val="bullet"/>
      <w:lvlText w:val="–"/>
      <w:lvlJc w:val="left"/>
      <w:pPr>
        <w:ind w:left="1725" w:hanging="360"/>
      </w:pPr>
      <w:rPr>
        <w:rFonts w:ascii="Times New Roman" w:hAnsi="Times New Roman" w:hint="default"/>
      </w:rPr>
    </w:lvl>
    <w:lvl w:ilvl="1" w:tplc="04090003" w:tentative="1">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 w15:restartNumberingAfterBreak="0">
    <w:nsid w:val="525844D7"/>
    <w:multiLevelType w:val="hybridMultilevel"/>
    <w:tmpl w:val="B9F69B50"/>
    <w:lvl w:ilvl="0" w:tplc="12CA43D2">
      <w:start w:val="1"/>
      <w:numFmt w:val="bullet"/>
      <w:lvlText w:val=""/>
      <w:lvlJc w:val="left"/>
      <w:pPr>
        <w:tabs>
          <w:tab w:val="num" w:pos="720"/>
        </w:tabs>
        <w:ind w:left="720" w:hanging="360"/>
      </w:pPr>
      <w:rPr>
        <w:rFonts w:ascii="Symbol" w:hAnsi="Symbol" w:hint="default"/>
      </w:rPr>
    </w:lvl>
    <w:lvl w:ilvl="1" w:tplc="461C0608">
      <w:start w:val="1"/>
      <w:numFmt w:val="bullet"/>
      <w:lvlText w:val="–"/>
      <w:lvlJc w:val="left"/>
      <w:pPr>
        <w:tabs>
          <w:tab w:val="num" w:pos="644"/>
        </w:tabs>
        <w:ind w:left="644"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1436E1"/>
    <w:multiLevelType w:val="hybridMultilevel"/>
    <w:tmpl w:val="0E6CB730"/>
    <w:lvl w:ilvl="0" w:tplc="12CA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55A20"/>
    <w:multiLevelType w:val="hybridMultilevel"/>
    <w:tmpl w:val="727C8090"/>
    <w:lvl w:ilvl="0" w:tplc="EB18B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242E72"/>
    <w:multiLevelType w:val="hybridMultilevel"/>
    <w:tmpl w:val="FB020004"/>
    <w:lvl w:ilvl="0" w:tplc="F022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5E619E"/>
    <w:multiLevelType w:val="hybridMultilevel"/>
    <w:tmpl w:val="A1E0B078"/>
    <w:lvl w:ilvl="0" w:tplc="12CA43D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E0848"/>
    <w:multiLevelType w:val="hybridMultilevel"/>
    <w:tmpl w:val="0486FBB6"/>
    <w:lvl w:ilvl="0" w:tplc="2DA210C4">
      <w:start w:val="1"/>
      <w:numFmt w:val="bullet"/>
      <w:lvlText w:val=""/>
      <w:lvlJc w:val="left"/>
      <w:pPr>
        <w:ind w:left="1005" w:hanging="360"/>
      </w:pPr>
      <w:rPr>
        <w:rFonts w:ascii="Symbol" w:hAnsi="Symbol" w:hint="default"/>
        <w:b/>
        <w:sz w:val="21"/>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2" w15:restartNumberingAfterBreak="0">
    <w:nsid w:val="7D267EDA"/>
    <w:multiLevelType w:val="hybridMultilevel"/>
    <w:tmpl w:val="7F6E04DC"/>
    <w:lvl w:ilvl="0" w:tplc="F0220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606DBD"/>
    <w:multiLevelType w:val="hybridMultilevel"/>
    <w:tmpl w:val="65B402B4"/>
    <w:lvl w:ilvl="0" w:tplc="12CA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4"/>
  </w:num>
  <w:num w:numId="6">
    <w:abstractNumId w:val="2"/>
  </w:num>
  <w:num w:numId="7">
    <w:abstractNumId w:val="13"/>
  </w:num>
  <w:num w:numId="8">
    <w:abstractNumId w:val="5"/>
  </w:num>
  <w:num w:numId="9">
    <w:abstractNumId w:val="10"/>
  </w:num>
  <w:num w:numId="10">
    <w:abstractNumId w:val="11"/>
  </w:num>
  <w:num w:numId="11">
    <w:abstractNumId w:val="12"/>
  </w:num>
  <w:num w:numId="12">
    <w:abstractNumId w:val="9"/>
  </w:num>
  <w:num w:numId="13">
    <w:abstractNumId w:val="0"/>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4A05"/>
    <w:rsid w:val="00010371"/>
    <w:rsid w:val="000157FF"/>
    <w:rsid w:val="000264BB"/>
    <w:rsid w:val="00026522"/>
    <w:rsid w:val="00033FC1"/>
    <w:rsid w:val="00042999"/>
    <w:rsid w:val="00054DD8"/>
    <w:rsid w:val="000741E7"/>
    <w:rsid w:val="00081DDD"/>
    <w:rsid w:val="000852A1"/>
    <w:rsid w:val="000928C1"/>
    <w:rsid w:val="00093E86"/>
    <w:rsid w:val="000941D7"/>
    <w:rsid w:val="000953CA"/>
    <w:rsid w:val="000972E6"/>
    <w:rsid w:val="000A0D71"/>
    <w:rsid w:val="000B33DA"/>
    <w:rsid w:val="000B3C8F"/>
    <w:rsid w:val="000B3EE4"/>
    <w:rsid w:val="000C16D1"/>
    <w:rsid w:val="000C2C4B"/>
    <w:rsid w:val="000C4C48"/>
    <w:rsid w:val="000C6CAA"/>
    <w:rsid w:val="000D2F1E"/>
    <w:rsid w:val="000E01AB"/>
    <w:rsid w:val="000E2683"/>
    <w:rsid w:val="000E4605"/>
    <w:rsid w:val="000E49F0"/>
    <w:rsid w:val="000E6126"/>
    <w:rsid w:val="00100406"/>
    <w:rsid w:val="001023FB"/>
    <w:rsid w:val="001026C0"/>
    <w:rsid w:val="00107A8A"/>
    <w:rsid w:val="00111788"/>
    <w:rsid w:val="00111D6D"/>
    <w:rsid w:val="00132B9A"/>
    <w:rsid w:val="001368AE"/>
    <w:rsid w:val="001375D4"/>
    <w:rsid w:val="00140829"/>
    <w:rsid w:val="001414E1"/>
    <w:rsid w:val="00144CCD"/>
    <w:rsid w:val="00145DAB"/>
    <w:rsid w:val="0014739A"/>
    <w:rsid w:val="001544D6"/>
    <w:rsid w:val="0015490C"/>
    <w:rsid w:val="001573E2"/>
    <w:rsid w:val="0016278D"/>
    <w:rsid w:val="00167EF7"/>
    <w:rsid w:val="0017083D"/>
    <w:rsid w:val="00170D74"/>
    <w:rsid w:val="00174E13"/>
    <w:rsid w:val="0017539C"/>
    <w:rsid w:val="001779B4"/>
    <w:rsid w:val="0018405C"/>
    <w:rsid w:val="00185F88"/>
    <w:rsid w:val="001937AD"/>
    <w:rsid w:val="001961C1"/>
    <w:rsid w:val="0019659B"/>
    <w:rsid w:val="001A2CB2"/>
    <w:rsid w:val="001B6AEC"/>
    <w:rsid w:val="001C07C7"/>
    <w:rsid w:val="001D21EC"/>
    <w:rsid w:val="001D6EB2"/>
    <w:rsid w:val="001E6932"/>
    <w:rsid w:val="001E6F4C"/>
    <w:rsid w:val="001E785F"/>
    <w:rsid w:val="001F16AA"/>
    <w:rsid w:val="00203355"/>
    <w:rsid w:val="00211005"/>
    <w:rsid w:val="00214CA0"/>
    <w:rsid w:val="00215B8A"/>
    <w:rsid w:val="00217D41"/>
    <w:rsid w:val="00222CA6"/>
    <w:rsid w:val="00224E1B"/>
    <w:rsid w:val="002301E0"/>
    <w:rsid w:val="00232642"/>
    <w:rsid w:val="002338B9"/>
    <w:rsid w:val="00237697"/>
    <w:rsid w:val="00243100"/>
    <w:rsid w:val="00250EDB"/>
    <w:rsid w:val="00256E10"/>
    <w:rsid w:val="002579BA"/>
    <w:rsid w:val="00260413"/>
    <w:rsid w:val="00260EBC"/>
    <w:rsid w:val="00264710"/>
    <w:rsid w:val="00267567"/>
    <w:rsid w:val="00270B0A"/>
    <w:rsid w:val="00281FBE"/>
    <w:rsid w:val="002903E7"/>
    <w:rsid w:val="00290D2E"/>
    <w:rsid w:val="00292715"/>
    <w:rsid w:val="00293CC0"/>
    <w:rsid w:val="002A591C"/>
    <w:rsid w:val="002A74BD"/>
    <w:rsid w:val="002A7530"/>
    <w:rsid w:val="002B3270"/>
    <w:rsid w:val="002C10E1"/>
    <w:rsid w:val="002C15EB"/>
    <w:rsid w:val="002C1660"/>
    <w:rsid w:val="002C35A2"/>
    <w:rsid w:val="002C5345"/>
    <w:rsid w:val="002C76D7"/>
    <w:rsid w:val="002D56B7"/>
    <w:rsid w:val="002E0BAD"/>
    <w:rsid w:val="002F1A99"/>
    <w:rsid w:val="002F4335"/>
    <w:rsid w:val="002F46D0"/>
    <w:rsid w:val="002F4A14"/>
    <w:rsid w:val="002F6DE3"/>
    <w:rsid w:val="00302607"/>
    <w:rsid w:val="003043BF"/>
    <w:rsid w:val="00307F11"/>
    <w:rsid w:val="00314311"/>
    <w:rsid w:val="0031543A"/>
    <w:rsid w:val="00320073"/>
    <w:rsid w:val="00320F31"/>
    <w:rsid w:val="003262DF"/>
    <w:rsid w:val="0032669E"/>
    <w:rsid w:val="0034727A"/>
    <w:rsid w:val="0035530B"/>
    <w:rsid w:val="00357F41"/>
    <w:rsid w:val="0036288F"/>
    <w:rsid w:val="003657B1"/>
    <w:rsid w:val="00365B10"/>
    <w:rsid w:val="00365E0E"/>
    <w:rsid w:val="003662F1"/>
    <w:rsid w:val="003667DE"/>
    <w:rsid w:val="00367BA7"/>
    <w:rsid w:val="0037467B"/>
    <w:rsid w:val="003761C0"/>
    <w:rsid w:val="003812B2"/>
    <w:rsid w:val="00381512"/>
    <w:rsid w:val="00383CDB"/>
    <w:rsid w:val="00384F08"/>
    <w:rsid w:val="003879F9"/>
    <w:rsid w:val="003978ED"/>
    <w:rsid w:val="00397A68"/>
    <w:rsid w:val="003A035E"/>
    <w:rsid w:val="003A29B9"/>
    <w:rsid w:val="003B0285"/>
    <w:rsid w:val="003D5DF3"/>
    <w:rsid w:val="003E0A4C"/>
    <w:rsid w:val="003E13CF"/>
    <w:rsid w:val="003E2439"/>
    <w:rsid w:val="003F5344"/>
    <w:rsid w:val="003F7EDC"/>
    <w:rsid w:val="00404548"/>
    <w:rsid w:val="0041162E"/>
    <w:rsid w:val="00415EC2"/>
    <w:rsid w:val="00421F8A"/>
    <w:rsid w:val="0042647B"/>
    <w:rsid w:val="00426643"/>
    <w:rsid w:val="0042786D"/>
    <w:rsid w:val="00433C62"/>
    <w:rsid w:val="00434D01"/>
    <w:rsid w:val="00445921"/>
    <w:rsid w:val="00452A70"/>
    <w:rsid w:val="004560FD"/>
    <w:rsid w:val="00456BA0"/>
    <w:rsid w:val="00470A07"/>
    <w:rsid w:val="00471F06"/>
    <w:rsid w:val="004722F1"/>
    <w:rsid w:val="00472EF5"/>
    <w:rsid w:val="00482154"/>
    <w:rsid w:val="0048687C"/>
    <w:rsid w:val="004A31B4"/>
    <w:rsid w:val="004B303D"/>
    <w:rsid w:val="004B5EBF"/>
    <w:rsid w:val="004B64FE"/>
    <w:rsid w:val="004C1922"/>
    <w:rsid w:val="004C1CD3"/>
    <w:rsid w:val="004C462F"/>
    <w:rsid w:val="004C67B2"/>
    <w:rsid w:val="004D3ED0"/>
    <w:rsid w:val="004D4282"/>
    <w:rsid w:val="004D49E9"/>
    <w:rsid w:val="004E729B"/>
    <w:rsid w:val="004F6070"/>
    <w:rsid w:val="00503D87"/>
    <w:rsid w:val="005071DA"/>
    <w:rsid w:val="00512C02"/>
    <w:rsid w:val="005228BC"/>
    <w:rsid w:val="00523D82"/>
    <w:rsid w:val="005419AA"/>
    <w:rsid w:val="00541A00"/>
    <w:rsid w:val="005444B2"/>
    <w:rsid w:val="00552040"/>
    <w:rsid w:val="00552F8B"/>
    <w:rsid w:val="00561FE7"/>
    <w:rsid w:val="0057066C"/>
    <w:rsid w:val="00575348"/>
    <w:rsid w:val="005755B5"/>
    <w:rsid w:val="005779DE"/>
    <w:rsid w:val="005869C5"/>
    <w:rsid w:val="005A3C81"/>
    <w:rsid w:val="005A5680"/>
    <w:rsid w:val="005A6639"/>
    <w:rsid w:val="005A6914"/>
    <w:rsid w:val="005B3FFE"/>
    <w:rsid w:val="005C1519"/>
    <w:rsid w:val="005C1C4E"/>
    <w:rsid w:val="005C4A16"/>
    <w:rsid w:val="005C4B12"/>
    <w:rsid w:val="005C6138"/>
    <w:rsid w:val="005D1034"/>
    <w:rsid w:val="005D68C6"/>
    <w:rsid w:val="005D7EE3"/>
    <w:rsid w:val="005E50DE"/>
    <w:rsid w:val="005E6951"/>
    <w:rsid w:val="005F7097"/>
    <w:rsid w:val="0060364A"/>
    <w:rsid w:val="00614A9D"/>
    <w:rsid w:val="0061650D"/>
    <w:rsid w:val="00617843"/>
    <w:rsid w:val="00617847"/>
    <w:rsid w:val="00620F34"/>
    <w:rsid w:val="0062421B"/>
    <w:rsid w:val="00624C1B"/>
    <w:rsid w:val="00625471"/>
    <w:rsid w:val="00627853"/>
    <w:rsid w:val="00630E01"/>
    <w:rsid w:val="00632C5F"/>
    <w:rsid w:val="00634D0C"/>
    <w:rsid w:val="006468CE"/>
    <w:rsid w:val="00652BCE"/>
    <w:rsid w:val="00652E29"/>
    <w:rsid w:val="00653617"/>
    <w:rsid w:val="006703A5"/>
    <w:rsid w:val="0067136B"/>
    <w:rsid w:val="00672EE9"/>
    <w:rsid w:val="00674A19"/>
    <w:rsid w:val="00684918"/>
    <w:rsid w:val="00687225"/>
    <w:rsid w:val="00690230"/>
    <w:rsid w:val="00691208"/>
    <w:rsid w:val="00691C72"/>
    <w:rsid w:val="00693014"/>
    <w:rsid w:val="006A20C1"/>
    <w:rsid w:val="006A23C4"/>
    <w:rsid w:val="006A251A"/>
    <w:rsid w:val="006A471B"/>
    <w:rsid w:val="006A702E"/>
    <w:rsid w:val="006B506D"/>
    <w:rsid w:val="006B5A11"/>
    <w:rsid w:val="006B7A90"/>
    <w:rsid w:val="006C1D7A"/>
    <w:rsid w:val="006C577B"/>
    <w:rsid w:val="006C5F38"/>
    <w:rsid w:val="006C6558"/>
    <w:rsid w:val="006D28DD"/>
    <w:rsid w:val="006D6724"/>
    <w:rsid w:val="006D6EBB"/>
    <w:rsid w:val="006D702C"/>
    <w:rsid w:val="006D7D5A"/>
    <w:rsid w:val="006E4305"/>
    <w:rsid w:val="006E6C84"/>
    <w:rsid w:val="006F2784"/>
    <w:rsid w:val="006F5763"/>
    <w:rsid w:val="00702A08"/>
    <w:rsid w:val="00704BAB"/>
    <w:rsid w:val="00705146"/>
    <w:rsid w:val="007104D1"/>
    <w:rsid w:val="007135A6"/>
    <w:rsid w:val="00713CA8"/>
    <w:rsid w:val="00720609"/>
    <w:rsid w:val="00732F32"/>
    <w:rsid w:val="00733A73"/>
    <w:rsid w:val="00733D0B"/>
    <w:rsid w:val="00736B6C"/>
    <w:rsid w:val="00745CFF"/>
    <w:rsid w:val="00746FF2"/>
    <w:rsid w:val="007507C1"/>
    <w:rsid w:val="00756755"/>
    <w:rsid w:val="00757269"/>
    <w:rsid w:val="00761133"/>
    <w:rsid w:val="00764E84"/>
    <w:rsid w:val="00764E8A"/>
    <w:rsid w:val="00773DF5"/>
    <w:rsid w:val="00774BE3"/>
    <w:rsid w:val="007762F8"/>
    <w:rsid w:val="007823DD"/>
    <w:rsid w:val="00783520"/>
    <w:rsid w:val="00796C6F"/>
    <w:rsid w:val="007A02D3"/>
    <w:rsid w:val="007A18B1"/>
    <w:rsid w:val="007A327A"/>
    <w:rsid w:val="007A65BF"/>
    <w:rsid w:val="007A769B"/>
    <w:rsid w:val="007B03E9"/>
    <w:rsid w:val="007B2A39"/>
    <w:rsid w:val="007B4CCC"/>
    <w:rsid w:val="007C055A"/>
    <w:rsid w:val="007C1693"/>
    <w:rsid w:val="007C46CB"/>
    <w:rsid w:val="007D0E84"/>
    <w:rsid w:val="007D1DB1"/>
    <w:rsid w:val="007D681B"/>
    <w:rsid w:val="007E1D85"/>
    <w:rsid w:val="007E702A"/>
    <w:rsid w:val="007F339C"/>
    <w:rsid w:val="008014AA"/>
    <w:rsid w:val="0081154A"/>
    <w:rsid w:val="00814D35"/>
    <w:rsid w:val="00820B36"/>
    <w:rsid w:val="00823C14"/>
    <w:rsid w:val="0082501A"/>
    <w:rsid w:val="00827BB2"/>
    <w:rsid w:val="008329DA"/>
    <w:rsid w:val="008330E7"/>
    <w:rsid w:val="008349F2"/>
    <w:rsid w:val="008353A4"/>
    <w:rsid w:val="008372C6"/>
    <w:rsid w:val="00844CE8"/>
    <w:rsid w:val="00847154"/>
    <w:rsid w:val="00851C9F"/>
    <w:rsid w:val="008629E2"/>
    <w:rsid w:val="0086657B"/>
    <w:rsid w:val="008832E5"/>
    <w:rsid w:val="0088340F"/>
    <w:rsid w:val="00897669"/>
    <w:rsid w:val="008A61ED"/>
    <w:rsid w:val="008A6DBD"/>
    <w:rsid w:val="008B1FA4"/>
    <w:rsid w:val="008C0181"/>
    <w:rsid w:val="008C5129"/>
    <w:rsid w:val="008C5574"/>
    <w:rsid w:val="008C709D"/>
    <w:rsid w:val="008D21CB"/>
    <w:rsid w:val="008D4451"/>
    <w:rsid w:val="008D62B7"/>
    <w:rsid w:val="008D6F42"/>
    <w:rsid w:val="008E593A"/>
    <w:rsid w:val="008E6895"/>
    <w:rsid w:val="008F6113"/>
    <w:rsid w:val="00900B3C"/>
    <w:rsid w:val="0090290B"/>
    <w:rsid w:val="00904FB5"/>
    <w:rsid w:val="0091136C"/>
    <w:rsid w:val="009157ED"/>
    <w:rsid w:val="00920BE4"/>
    <w:rsid w:val="00930D7D"/>
    <w:rsid w:val="00933BC3"/>
    <w:rsid w:val="00935A00"/>
    <w:rsid w:val="00944B9A"/>
    <w:rsid w:val="00945527"/>
    <w:rsid w:val="0095047E"/>
    <w:rsid w:val="00950E37"/>
    <w:rsid w:val="0095181B"/>
    <w:rsid w:val="00954AD8"/>
    <w:rsid w:val="00956101"/>
    <w:rsid w:val="00960B69"/>
    <w:rsid w:val="00962CD6"/>
    <w:rsid w:val="00967B04"/>
    <w:rsid w:val="009927B7"/>
    <w:rsid w:val="00993A60"/>
    <w:rsid w:val="0099449F"/>
    <w:rsid w:val="00996F90"/>
    <w:rsid w:val="009A5C36"/>
    <w:rsid w:val="009B014E"/>
    <w:rsid w:val="009C586B"/>
    <w:rsid w:val="009D34EB"/>
    <w:rsid w:val="009D71D5"/>
    <w:rsid w:val="009E2887"/>
    <w:rsid w:val="009E5CB9"/>
    <w:rsid w:val="009F31F2"/>
    <w:rsid w:val="009F34CF"/>
    <w:rsid w:val="009F45A5"/>
    <w:rsid w:val="00A000D2"/>
    <w:rsid w:val="00A01429"/>
    <w:rsid w:val="00A01C2E"/>
    <w:rsid w:val="00A02BB2"/>
    <w:rsid w:val="00A04052"/>
    <w:rsid w:val="00A12563"/>
    <w:rsid w:val="00A13600"/>
    <w:rsid w:val="00A15AD6"/>
    <w:rsid w:val="00A173A7"/>
    <w:rsid w:val="00A22551"/>
    <w:rsid w:val="00A2380C"/>
    <w:rsid w:val="00A32EE8"/>
    <w:rsid w:val="00A42C04"/>
    <w:rsid w:val="00A4356E"/>
    <w:rsid w:val="00A73DAC"/>
    <w:rsid w:val="00A8185B"/>
    <w:rsid w:val="00A84C20"/>
    <w:rsid w:val="00A86D08"/>
    <w:rsid w:val="00AA5E2F"/>
    <w:rsid w:val="00AA7317"/>
    <w:rsid w:val="00AC2C0B"/>
    <w:rsid w:val="00AC4905"/>
    <w:rsid w:val="00AC78C0"/>
    <w:rsid w:val="00AD51FD"/>
    <w:rsid w:val="00AE5EEA"/>
    <w:rsid w:val="00AE7922"/>
    <w:rsid w:val="00AF4C4D"/>
    <w:rsid w:val="00AF66C8"/>
    <w:rsid w:val="00B01011"/>
    <w:rsid w:val="00B02544"/>
    <w:rsid w:val="00B07633"/>
    <w:rsid w:val="00B10AC5"/>
    <w:rsid w:val="00B11878"/>
    <w:rsid w:val="00B2307E"/>
    <w:rsid w:val="00B230B6"/>
    <w:rsid w:val="00B410FD"/>
    <w:rsid w:val="00B461A2"/>
    <w:rsid w:val="00B46F30"/>
    <w:rsid w:val="00B608C1"/>
    <w:rsid w:val="00B60D3D"/>
    <w:rsid w:val="00B61D95"/>
    <w:rsid w:val="00B62326"/>
    <w:rsid w:val="00B702B4"/>
    <w:rsid w:val="00B851E9"/>
    <w:rsid w:val="00B9187F"/>
    <w:rsid w:val="00BA0874"/>
    <w:rsid w:val="00BB0355"/>
    <w:rsid w:val="00BB3050"/>
    <w:rsid w:val="00BB3431"/>
    <w:rsid w:val="00BB7831"/>
    <w:rsid w:val="00BC3075"/>
    <w:rsid w:val="00BC31BC"/>
    <w:rsid w:val="00BC3DD1"/>
    <w:rsid w:val="00BC6167"/>
    <w:rsid w:val="00BC720B"/>
    <w:rsid w:val="00BD36ED"/>
    <w:rsid w:val="00BE4435"/>
    <w:rsid w:val="00BE6B71"/>
    <w:rsid w:val="00BF1619"/>
    <w:rsid w:val="00BF3DBF"/>
    <w:rsid w:val="00C0032C"/>
    <w:rsid w:val="00C02AB7"/>
    <w:rsid w:val="00C07BB3"/>
    <w:rsid w:val="00C17BDD"/>
    <w:rsid w:val="00C2000E"/>
    <w:rsid w:val="00C278F3"/>
    <w:rsid w:val="00C30496"/>
    <w:rsid w:val="00C379C9"/>
    <w:rsid w:val="00C422B8"/>
    <w:rsid w:val="00C566D6"/>
    <w:rsid w:val="00C71F9F"/>
    <w:rsid w:val="00C7762D"/>
    <w:rsid w:val="00C839ED"/>
    <w:rsid w:val="00C84299"/>
    <w:rsid w:val="00C92F14"/>
    <w:rsid w:val="00C9308C"/>
    <w:rsid w:val="00C97365"/>
    <w:rsid w:val="00CA6793"/>
    <w:rsid w:val="00CB6A1F"/>
    <w:rsid w:val="00CC08BA"/>
    <w:rsid w:val="00CC330A"/>
    <w:rsid w:val="00CC5727"/>
    <w:rsid w:val="00CC7DBD"/>
    <w:rsid w:val="00CD1A55"/>
    <w:rsid w:val="00CE1E78"/>
    <w:rsid w:val="00CE4CB5"/>
    <w:rsid w:val="00CF3849"/>
    <w:rsid w:val="00D0233C"/>
    <w:rsid w:val="00D04E02"/>
    <w:rsid w:val="00D066FC"/>
    <w:rsid w:val="00D11462"/>
    <w:rsid w:val="00D14D61"/>
    <w:rsid w:val="00D2133A"/>
    <w:rsid w:val="00D21CE3"/>
    <w:rsid w:val="00D22A47"/>
    <w:rsid w:val="00D27365"/>
    <w:rsid w:val="00D275FC"/>
    <w:rsid w:val="00D33A8D"/>
    <w:rsid w:val="00D34B72"/>
    <w:rsid w:val="00D3576E"/>
    <w:rsid w:val="00D43297"/>
    <w:rsid w:val="00D46B0B"/>
    <w:rsid w:val="00D55ED8"/>
    <w:rsid w:val="00D563C3"/>
    <w:rsid w:val="00D65435"/>
    <w:rsid w:val="00D676A3"/>
    <w:rsid w:val="00D67D9B"/>
    <w:rsid w:val="00D70DB6"/>
    <w:rsid w:val="00D73A01"/>
    <w:rsid w:val="00D756A1"/>
    <w:rsid w:val="00D76048"/>
    <w:rsid w:val="00D93C80"/>
    <w:rsid w:val="00D96A8F"/>
    <w:rsid w:val="00DA105B"/>
    <w:rsid w:val="00DA3D00"/>
    <w:rsid w:val="00DA45AE"/>
    <w:rsid w:val="00DA53AC"/>
    <w:rsid w:val="00DA5B5B"/>
    <w:rsid w:val="00DB406A"/>
    <w:rsid w:val="00DB665A"/>
    <w:rsid w:val="00DC28DB"/>
    <w:rsid w:val="00DC3FFF"/>
    <w:rsid w:val="00DD44F5"/>
    <w:rsid w:val="00DE7316"/>
    <w:rsid w:val="00DF0B14"/>
    <w:rsid w:val="00DF11A7"/>
    <w:rsid w:val="00DF693E"/>
    <w:rsid w:val="00DF702F"/>
    <w:rsid w:val="00E07E6B"/>
    <w:rsid w:val="00E12113"/>
    <w:rsid w:val="00E15919"/>
    <w:rsid w:val="00E17D34"/>
    <w:rsid w:val="00E271CB"/>
    <w:rsid w:val="00E34FE3"/>
    <w:rsid w:val="00E41050"/>
    <w:rsid w:val="00E475AE"/>
    <w:rsid w:val="00E55D6C"/>
    <w:rsid w:val="00E57396"/>
    <w:rsid w:val="00E81A1B"/>
    <w:rsid w:val="00E81A86"/>
    <w:rsid w:val="00E8607B"/>
    <w:rsid w:val="00E90E14"/>
    <w:rsid w:val="00E91073"/>
    <w:rsid w:val="00E91F64"/>
    <w:rsid w:val="00E93583"/>
    <w:rsid w:val="00E97883"/>
    <w:rsid w:val="00EA03B6"/>
    <w:rsid w:val="00EA18DF"/>
    <w:rsid w:val="00EA2F86"/>
    <w:rsid w:val="00EA5824"/>
    <w:rsid w:val="00EA6D39"/>
    <w:rsid w:val="00EB1D97"/>
    <w:rsid w:val="00EB6267"/>
    <w:rsid w:val="00ED174F"/>
    <w:rsid w:val="00EF2A45"/>
    <w:rsid w:val="00EF4C53"/>
    <w:rsid w:val="00EF7FBA"/>
    <w:rsid w:val="00F006F1"/>
    <w:rsid w:val="00F07B7B"/>
    <w:rsid w:val="00F16A21"/>
    <w:rsid w:val="00F23B95"/>
    <w:rsid w:val="00F25655"/>
    <w:rsid w:val="00F26F8B"/>
    <w:rsid w:val="00F40388"/>
    <w:rsid w:val="00F56089"/>
    <w:rsid w:val="00F60A0A"/>
    <w:rsid w:val="00F6315A"/>
    <w:rsid w:val="00F63389"/>
    <w:rsid w:val="00F63557"/>
    <w:rsid w:val="00F75E2F"/>
    <w:rsid w:val="00F778E0"/>
    <w:rsid w:val="00F838A0"/>
    <w:rsid w:val="00F8747E"/>
    <w:rsid w:val="00F90F22"/>
    <w:rsid w:val="00F91514"/>
    <w:rsid w:val="00F91977"/>
    <w:rsid w:val="00F97B57"/>
    <w:rsid w:val="00FA47DB"/>
    <w:rsid w:val="00FA4F7C"/>
    <w:rsid w:val="00FB0456"/>
    <w:rsid w:val="00FB47F4"/>
    <w:rsid w:val="00FC5017"/>
    <w:rsid w:val="00FC678F"/>
    <w:rsid w:val="00FD2B12"/>
    <w:rsid w:val="00FD2B9F"/>
    <w:rsid w:val="00FD442C"/>
    <w:rsid w:val="00FE0263"/>
    <w:rsid w:val="00FE4DAF"/>
    <w:rsid w:val="00FE566D"/>
    <w:rsid w:val="00FF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260A1-99B4-4DB7-A7A0-FFB4ABD6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4F6070"/>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1779B4"/>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1779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basedOn w:val="a"/>
    <w:uiPriority w:val="99"/>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uiPriority w:val="99"/>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uiPriority w:val="9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uiPriority w:val="99"/>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styleId="21">
    <w:name w:val="Body Text 2"/>
    <w:basedOn w:val="a"/>
    <w:link w:val="22"/>
    <w:uiPriority w:val="99"/>
    <w:semiHidden/>
    <w:unhideWhenUsed/>
    <w:rsid w:val="00F8747E"/>
    <w:pPr>
      <w:spacing w:after="120" w:line="480" w:lineRule="auto"/>
    </w:pPr>
  </w:style>
  <w:style w:type="character" w:customStyle="1" w:styleId="22">
    <w:name w:val="Основной текст 2 Знак"/>
    <w:link w:val="21"/>
    <w:uiPriority w:val="99"/>
    <w:semiHidden/>
    <w:rsid w:val="00F8747E"/>
    <w:rPr>
      <w:sz w:val="22"/>
      <w:szCs w:val="22"/>
      <w:lang w:eastAsia="en-US"/>
    </w:rPr>
  </w:style>
  <w:style w:type="character" w:customStyle="1" w:styleId="50">
    <w:name w:val="Заголовок 5 Знак"/>
    <w:link w:val="5"/>
    <w:uiPriority w:val="9"/>
    <w:semiHidden/>
    <w:rsid w:val="001779B4"/>
    <w:rPr>
      <w:rFonts w:ascii="Calibri" w:eastAsia="Times New Roman" w:hAnsi="Calibri" w:cs="Times New Roman"/>
      <w:b/>
      <w:bCs/>
      <w:i/>
      <w:iCs/>
      <w:sz w:val="26"/>
      <w:szCs w:val="26"/>
      <w:lang w:eastAsia="en-US"/>
    </w:rPr>
  </w:style>
  <w:style w:type="character" w:customStyle="1" w:styleId="70">
    <w:name w:val="Заголовок 7 Знак"/>
    <w:link w:val="7"/>
    <w:uiPriority w:val="9"/>
    <w:semiHidden/>
    <w:rsid w:val="001779B4"/>
    <w:rPr>
      <w:rFonts w:ascii="Calibri" w:eastAsia="Times New Roman" w:hAnsi="Calibri" w:cs="Times New Roman"/>
      <w:sz w:val="24"/>
      <w:szCs w:val="24"/>
      <w:lang w:eastAsia="en-US"/>
    </w:rPr>
  </w:style>
  <w:style w:type="paragraph" w:styleId="33">
    <w:name w:val="Body Text 3"/>
    <w:basedOn w:val="a"/>
    <w:link w:val="34"/>
    <w:uiPriority w:val="99"/>
    <w:semiHidden/>
    <w:unhideWhenUsed/>
    <w:rsid w:val="001779B4"/>
    <w:pPr>
      <w:spacing w:after="120"/>
    </w:pPr>
    <w:rPr>
      <w:sz w:val="16"/>
      <w:szCs w:val="16"/>
    </w:rPr>
  </w:style>
  <w:style w:type="character" w:customStyle="1" w:styleId="34">
    <w:name w:val="Основной текст 3 Знак"/>
    <w:link w:val="33"/>
    <w:uiPriority w:val="99"/>
    <w:semiHidden/>
    <w:rsid w:val="001779B4"/>
    <w:rPr>
      <w:sz w:val="16"/>
      <w:szCs w:val="16"/>
      <w:lang w:eastAsia="en-US"/>
    </w:rPr>
  </w:style>
  <w:style w:type="paragraph" w:customStyle="1" w:styleId="BodyText21">
    <w:name w:val="Body Text 21"/>
    <w:basedOn w:val="a"/>
    <w:rsid w:val="00FD442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4"/>
      <w:szCs w:val="20"/>
      <w:lang w:eastAsia="ru-RU"/>
    </w:rPr>
  </w:style>
  <w:style w:type="character" w:customStyle="1" w:styleId="40">
    <w:name w:val="Заголовок 4 Знак"/>
    <w:link w:val="4"/>
    <w:uiPriority w:val="9"/>
    <w:semiHidden/>
    <w:rsid w:val="004F6070"/>
    <w:rPr>
      <w:rFonts w:ascii="Calibri" w:eastAsia="Times New Roman" w:hAnsi="Calibri" w:cs="Times New Roman"/>
      <w:b/>
      <w:bCs/>
      <w:sz w:val="28"/>
      <w:szCs w:val="28"/>
      <w:lang w:eastAsia="en-US"/>
    </w:rPr>
  </w:style>
  <w:style w:type="paragraph" w:styleId="afa">
    <w:name w:val="annotation subject"/>
    <w:basedOn w:val="af8"/>
    <w:next w:val="af8"/>
    <w:link w:val="afb"/>
    <w:uiPriority w:val="99"/>
    <w:semiHidden/>
    <w:unhideWhenUsed/>
    <w:rsid w:val="00954AD8"/>
    <w:pPr>
      <w:spacing w:after="200" w:line="276" w:lineRule="auto"/>
    </w:pPr>
    <w:rPr>
      <w:rFonts w:ascii="Calibri" w:eastAsia="Calibri" w:hAnsi="Calibri" w:cs="Times New Roman"/>
      <w:b/>
      <w:bCs/>
      <w:lang w:val="ru-RU" w:eastAsia="en-US" w:bidi="ar-SA"/>
    </w:rPr>
  </w:style>
  <w:style w:type="character" w:customStyle="1" w:styleId="afb">
    <w:name w:val="Тема примечания Знак"/>
    <w:link w:val="afa"/>
    <w:uiPriority w:val="99"/>
    <w:semiHidden/>
    <w:rsid w:val="00954AD8"/>
    <w:rPr>
      <w:rFonts w:ascii="Times New Roman" w:eastAsia="Times New Roman" w:hAnsi="Times New Roman" w:cs="Arial Unicode MS"/>
      <w:b/>
      <w:bCs/>
      <w:lang w:val="en-GB" w:eastAsia="en-US" w:bidi="ml-IN"/>
    </w:rPr>
  </w:style>
  <w:style w:type="paragraph" w:customStyle="1" w:styleId="Standard">
    <w:name w:val="Standard"/>
    <w:rsid w:val="006C1D7A"/>
    <w:pPr>
      <w:suppressAutoHyphens/>
      <w:autoSpaceDN w:val="0"/>
      <w:spacing w:after="200" w:line="276" w:lineRule="auto"/>
      <w:textAlignment w:val="baseline"/>
    </w:pPr>
    <w:rPr>
      <w:kern w:val="3"/>
      <w:sz w:val="22"/>
      <w:szCs w:val="22"/>
      <w:lang w:eastAsia="en-US"/>
    </w:rPr>
  </w:style>
  <w:style w:type="character" w:customStyle="1" w:styleId="longtext">
    <w:name w:val="long_text"/>
    <w:rsid w:val="007A65BF"/>
  </w:style>
  <w:style w:type="character" w:customStyle="1" w:styleId="longtext1">
    <w:name w:val="long_text1"/>
    <w:rsid w:val="007A65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7142">
      <w:bodyDiv w:val="1"/>
      <w:marLeft w:val="0"/>
      <w:marRight w:val="0"/>
      <w:marTop w:val="0"/>
      <w:marBottom w:val="0"/>
      <w:divBdr>
        <w:top w:val="none" w:sz="0" w:space="0" w:color="auto"/>
        <w:left w:val="none" w:sz="0" w:space="0" w:color="auto"/>
        <w:bottom w:val="none" w:sz="0" w:space="0" w:color="auto"/>
        <w:right w:val="none" w:sz="0" w:space="0" w:color="auto"/>
      </w:divBdr>
    </w:div>
    <w:div w:id="211577340">
      <w:bodyDiv w:val="1"/>
      <w:marLeft w:val="0"/>
      <w:marRight w:val="0"/>
      <w:marTop w:val="0"/>
      <w:marBottom w:val="0"/>
      <w:divBdr>
        <w:top w:val="none" w:sz="0" w:space="0" w:color="auto"/>
        <w:left w:val="none" w:sz="0" w:space="0" w:color="auto"/>
        <w:bottom w:val="none" w:sz="0" w:space="0" w:color="auto"/>
        <w:right w:val="none" w:sz="0" w:space="0" w:color="auto"/>
      </w:divBdr>
    </w:div>
    <w:div w:id="234441999">
      <w:bodyDiv w:val="1"/>
      <w:marLeft w:val="0"/>
      <w:marRight w:val="0"/>
      <w:marTop w:val="0"/>
      <w:marBottom w:val="0"/>
      <w:divBdr>
        <w:top w:val="none" w:sz="0" w:space="0" w:color="auto"/>
        <w:left w:val="none" w:sz="0" w:space="0" w:color="auto"/>
        <w:bottom w:val="none" w:sz="0" w:space="0" w:color="auto"/>
        <w:right w:val="none" w:sz="0" w:space="0" w:color="auto"/>
      </w:divBdr>
    </w:div>
    <w:div w:id="361052322">
      <w:bodyDiv w:val="1"/>
      <w:marLeft w:val="0"/>
      <w:marRight w:val="0"/>
      <w:marTop w:val="0"/>
      <w:marBottom w:val="0"/>
      <w:divBdr>
        <w:top w:val="none" w:sz="0" w:space="0" w:color="auto"/>
        <w:left w:val="none" w:sz="0" w:space="0" w:color="auto"/>
        <w:bottom w:val="none" w:sz="0" w:space="0" w:color="auto"/>
        <w:right w:val="none" w:sz="0" w:space="0" w:color="auto"/>
      </w:divBdr>
    </w:div>
    <w:div w:id="532116297">
      <w:bodyDiv w:val="1"/>
      <w:marLeft w:val="0"/>
      <w:marRight w:val="0"/>
      <w:marTop w:val="0"/>
      <w:marBottom w:val="0"/>
      <w:divBdr>
        <w:top w:val="none" w:sz="0" w:space="0" w:color="auto"/>
        <w:left w:val="none" w:sz="0" w:space="0" w:color="auto"/>
        <w:bottom w:val="none" w:sz="0" w:space="0" w:color="auto"/>
        <w:right w:val="none" w:sz="0" w:space="0" w:color="auto"/>
      </w:divBdr>
    </w:div>
    <w:div w:id="645358397">
      <w:bodyDiv w:val="1"/>
      <w:marLeft w:val="0"/>
      <w:marRight w:val="0"/>
      <w:marTop w:val="0"/>
      <w:marBottom w:val="0"/>
      <w:divBdr>
        <w:top w:val="none" w:sz="0" w:space="0" w:color="auto"/>
        <w:left w:val="none" w:sz="0" w:space="0" w:color="auto"/>
        <w:bottom w:val="none" w:sz="0" w:space="0" w:color="auto"/>
        <w:right w:val="none" w:sz="0" w:space="0" w:color="auto"/>
      </w:divBdr>
    </w:div>
    <w:div w:id="696540821">
      <w:bodyDiv w:val="1"/>
      <w:marLeft w:val="0"/>
      <w:marRight w:val="0"/>
      <w:marTop w:val="0"/>
      <w:marBottom w:val="0"/>
      <w:divBdr>
        <w:top w:val="none" w:sz="0" w:space="0" w:color="auto"/>
        <w:left w:val="none" w:sz="0" w:space="0" w:color="auto"/>
        <w:bottom w:val="none" w:sz="0" w:space="0" w:color="auto"/>
        <w:right w:val="none" w:sz="0" w:space="0" w:color="auto"/>
      </w:divBdr>
    </w:div>
    <w:div w:id="713971397">
      <w:bodyDiv w:val="1"/>
      <w:marLeft w:val="0"/>
      <w:marRight w:val="0"/>
      <w:marTop w:val="0"/>
      <w:marBottom w:val="0"/>
      <w:divBdr>
        <w:top w:val="none" w:sz="0" w:space="0" w:color="auto"/>
        <w:left w:val="none" w:sz="0" w:space="0" w:color="auto"/>
        <w:bottom w:val="none" w:sz="0" w:space="0" w:color="auto"/>
        <w:right w:val="none" w:sz="0" w:space="0" w:color="auto"/>
      </w:divBdr>
    </w:div>
    <w:div w:id="863984524">
      <w:bodyDiv w:val="1"/>
      <w:marLeft w:val="0"/>
      <w:marRight w:val="0"/>
      <w:marTop w:val="0"/>
      <w:marBottom w:val="0"/>
      <w:divBdr>
        <w:top w:val="none" w:sz="0" w:space="0" w:color="auto"/>
        <w:left w:val="none" w:sz="0" w:space="0" w:color="auto"/>
        <w:bottom w:val="none" w:sz="0" w:space="0" w:color="auto"/>
        <w:right w:val="none" w:sz="0" w:space="0" w:color="auto"/>
      </w:divBdr>
    </w:div>
    <w:div w:id="1023940759">
      <w:bodyDiv w:val="1"/>
      <w:marLeft w:val="0"/>
      <w:marRight w:val="0"/>
      <w:marTop w:val="0"/>
      <w:marBottom w:val="0"/>
      <w:divBdr>
        <w:top w:val="none" w:sz="0" w:space="0" w:color="auto"/>
        <w:left w:val="none" w:sz="0" w:space="0" w:color="auto"/>
        <w:bottom w:val="none" w:sz="0" w:space="0" w:color="auto"/>
        <w:right w:val="none" w:sz="0" w:space="0" w:color="auto"/>
      </w:divBdr>
    </w:div>
    <w:div w:id="1074205247">
      <w:bodyDiv w:val="1"/>
      <w:marLeft w:val="0"/>
      <w:marRight w:val="0"/>
      <w:marTop w:val="0"/>
      <w:marBottom w:val="0"/>
      <w:divBdr>
        <w:top w:val="none" w:sz="0" w:space="0" w:color="auto"/>
        <w:left w:val="none" w:sz="0" w:space="0" w:color="auto"/>
        <w:bottom w:val="none" w:sz="0" w:space="0" w:color="auto"/>
        <w:right w:val="none" w:sz="0" w:space="0" w:color="auto"/>
      </w:divBdr>
    </w:div>
    <w:div w:id="119932068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466969156">
      <w:bodyDiv w:val="1"/>
      <w:marLeft w:val="0"/>
      <w:marRight w:val="0"/>
      <w:marTop w:val="0"/>
      <w:marBottom w:val="0"/>
      <w:divBdr>
        <w:top w:val="none" w:sz="0" w:space="0" w:color="auto"/>
        <w:left w:val="none" w:sz="0" w:space="0" w:color="auto"/>
        <w:bottom w:val="none" w:sz="0" w:space="0" w:color="auto"/>
        <w:right w:val="none" w:sz="0" w:space="0" w:color="auto"/>
      </w:divBdr>
    </w:div>
    <w:div w:id="1670477420">
      <w:bodyDiv w:val="1"/>
      <w:marLeft w:val="0"/>
      <w:marRight w:val="0"/>
      <w:marTop w:val="0"/>
      <w:marBottom w:val="0"/>
      <w:divBdr>
        <w:top w:val="none" w:sz="0" w:space="0" w:color="auto"/>
        <w:left w:val="none" w:sz="0" w:space="0" w:color="auto"/>
        <w:bottom w:val="none" w:sz="0" w:space="0" w:color="auto"/>
        <w:right w:val="none" w:sz="0" w:space="0" w:color="auto"/>
      </w:divBdr>
    </w:div>
    <w:div w:id="1708752803">
      <w:bodyDiv w:val="1"/>
      <w:marLeft w:val="0"/>
      <w:marRight w:val="0"/>
      <w:marTop w:val="0"/>
      <w:marBottom w:val="0"/>
      <w:divBdr>
        <w:top w:val="none" w:sz="0" w:space="0" w:color="auto"/>
        <w:left w:val="none" w:sz="0" w:space="0" w:color="auto"/>
        <w:bottom w:val="none" w:sz="0" w:space="0" w:color="auto"/>
        <w:right w:val="none" w:sz="0" w:space="0" w:color="auto"/>
      </w:divBdr>
    </w:div>
    <w:div w:id="1922904001">
      <w:bodyDiv w:val="1"/>
      <w:marLeft w:val="0"/>
      <w:marRight w:val="0"/>
      <w:marTop w:val="0"/>
      <w:marBottom w:val="0"/>
      <w:divBdr>
        <w:top w:val="none" w:sz="0" w:space="0" w:color="auto"/>
        <w:left w:val="none" w:sz="0" w:space="0" w:color="auto"/>
        <w:bottom w:val="none" w:sz="0" w:space="0" w:color="auto"/>
        <w:right w:val="none" w:sz="0" w:space="0" w:color="auto"/>
      </w:divBdr>
    </w:div>
    <w:div w:id="1956210994">
      <w:bodyDiv w:val="1"/>
      <w:marLeft w:val="0"/>
      <w:marRight w:val="0"/>
      <w:marTop w:val="0"/>
      <w:marBottom w:val="0"/>
      <w:divBdr>
        <w:top w:val="none" w:sz="0" w:space="0" w:color="auto"/>
        <w:left w:val="none" w:sz="0" w:space="0" w:color="auto"/>
        <w:bottom w:val="none" w:sz="0" w:space="0" w:color="auto"/>
        <w:right w:val="none" w:sz="0" w:space="0" w:color="auto"/>
      </w:divBdr>
    </w:div>
    <w:div w:id="1990791246">
      <w:bodyDiv w:val="1"/>
      <w:marLeft w:val="0"/>
      <w:marRight w:val="0"/>
      <w:marTop w:val="0"/>
      <w:marBottom w:val="0"/>
      <w:divBdr>
        <w:top w:val="none" w:sz="0" w:space="0" w:color="auto"/>
        <w:left w:val="none" w:sz="0" w:space="0" w:color="auto"/>
        <w:bottom w:val="none" w:sz="0" w:space="0" w:color="auto"/>
        <w:right w:val="none" w:sz="0" w:space="0" w:color="auto"/>
      </w:divBdr>
    </w:div>
    <w:div w:id="20984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1FD3-CBA2-4859-9198-0E2D9E0E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3633</Words>
  <Characters>20712</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24297</CharactersWithSpaces>
  <SharedDoc>false</SharedDoc>
  <HLinks>
    <vt:vector size="24" baseType="variant">
      <vt:variant>
        <vt:i4>1310763</vt:i4>
      </vt:variant>
      <vt:variant>
        <vt:i4>9</vt:i4>
      </vt:variant>
      <vt:variant>
        <vt:i4>0</vt:i4>
      </vt:variant>
      <vt:variant>
        <vt:i4>5</vt:i4>
      </vt:variant>
      <vt:variant>
        <vt:lpwstr>mailto:pv@vivapharm.kz</vt:lpwstr>
      </vt:variant>
      <vt:variant>
        <vt:lpwstr/>
      </vt:variant>
      <vt:variant>
        <vt:i4>1310763</vt:i4>
      </vt:variant>
      <vt:variant>
        <vt:i4>6</vt:i4>
      </vt:variant>
      <vt:variant>
        <vt:i4>0</vt:i4>
      </vt:variant>
      <vt:variant>
        <vt:i4>5</vt:i4>
      </vt:variant>
      <vt:variant>
        <vt:lpwstr>mailto:pv@vivapharm.kz</vt:lpwstr>
      </vt:variant>
      <vt:variant>
        <vt:lpwstr/>
      </vt:variant>
      <vt:variant>
        <vt:i4>1310763</vt:i4>
      </vt:variant>
      <vt:variant>
        <vt:i4>3</vt:i4>
      </vt:variant>
      <vt:variant>
        <vt:i4>0</vt:i4>
      </vt:variant>
      <vt:variant>
        <vt:i4>5</vt:i4>
      </vt:variant>
      <vt:variant>
        <vt:lpwstr>mailto:pv@vivapharm.kz</vt:lpwstr>
      </vt:variant>
      <vt:variant>
        <vt:lpwstr/>
      </vt:variant>
      <vt:variant>
        <vt:i4>7667774</vt:i4>
      </vt:variant>
      <vt:variant>
        <vt:i4>0</vt:i4>
      </vt:variant>
      <vt:variant>
        <vt:i4>0</vt:i4>
      </vt:variant>
      <vt:variant>
        <vt:i4>5</vt:i4>
      </vt:variant>
      <vt:variant>
        <vt:lpwstr>http://www.ndda.kz/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БисенбаеваГульсум</cp:lastModifiedBy>
  <cp:revision>5</cp:revision>
  <cp:lastPrinted>2018-03-22T06:08:00Z</cp:lastPrinted>
  <dcterms:created xsi:type="dcterms:W3CDTF">2023-07-13T06:25:00Z</dcterms:created>
  <dcterms:modified xsi:type="dcterms:W3CDTF">2023-08-16T04:10:00Z</dcterms:modified>
</cp:coreProperties>
</file>